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9103" w14:textId="3EE9B8A1" w:rsidR="00345CB8" w:rsidRPr="001C7732" w:rsidRDefault="001C7732" w:rsidP="00345CB8">
      <w:pPr>
        <w:rPr>
          <w:b/>
          <w:bCs/>
          <w:sz w:val="18"/>
          <w:szCs w:val="18"/>
        </w:rPr>
      </w:pPr>
      <w:r w:rsidRPr="001C7732">
        <w:rPr>
          <w:b/>
          <w:bCs/>
          <w:sz w:val="18"/>
          <w:szCs w:val="18"/>
        </w:rPr>
        <w:t>Madencilikte ÇED</w:t>
      </w:r>
    </w:p>
    <w:p w14:paraId="14F813B5" w14:textId="77777777" w:rsidR="00345CB8" w:rsidRDefault="00345CB8" w:rsidP="00345CB8">
      <w:pPr>
        <w:rPr>
          <w:sz w:val="18"/>
          <w:szCs w:val="18"/>
        </w:rPr>
      </w:pPr>
    </w:p>
    <w:p w14:paraId="2154D366" w14:textId="77777777" w:rsidR="001C7732" w:rsidRPr="001C7732" w:rsidRDefault="001C7732" w:rsidP="001C7732">
      <w:pPr>
        <w:rPr>
          <w:sz w:val="18"/>
          <w:szCs w:val="18"/>
        </w:rPr>
      </w:pPr>
      <w:r w:rsidRPr="001C7732">
        <w:rPr>
          <w:sz w:val="18"/>
          <w:szCs w:val="18"/>
        </w:rPr>
        <w:t xml:space="preserve">İlknur Türker </w:t>
      </w:r>
    </w:p>
    <w:p w14:paraId="0C18C4A6" w14:textId="55B25774" w:rsidR="00345CB8" w:rsidRDefault="001C7732" w:rsidP="001C7732">
      <w:pPr>
        <w:rPr>
          <w:sz w:val="18"/>
          <w:szCs w:val="18"/>
        </w:rPr>
      </w:pPr>
      <w:r w:rsidRPr="001C7732">
        <w:rPr>
          <w:sz w:val="18"/>
          <w:szCs w:val="18"/>
        </w:rPr>
        <w:t>Çiftay AŞ - Çevre Şefi</w:t>
      </w:r>
    </w:p>
    <w:p w14:paraId="35D1EAE9" w14:textId="512DCA74" w:rsidR="001C7732" w:rsidRDefault="001C7732" w:rsidP="001C7732">
      <w:pPr>
        <w:rPr>
          <w:sz w:val="18"/>
          <w:szCs w:val="18"/>
        </w:rPr>
      </w:pPr>
    </w:p>
    <w:p w14:paraId="1ECD9FF0" w14:textId="089270FD" w:rsidR="001C7732" w:rsidRDefault="001C7732" w:rsidP="001C7732">
      <w:pPr>
        <w:jc w:val="both"/>
        <w:rPr>
          <w:sz w:val="18"/>
          <w:szCs w:val="18"/>
        </w:rPr>
      </w:pPr>
      <w:r w:rsidRPr="001C7732">
        <w:rPr>
          <w:sz w:val="18"/>
          <w:szCs w:val="18"/>
        </w:rPr>
        <w:t>Çevreye karşı duyarlılığın gün geçtikçe arttığı bir dönemden geçmekteyiz. Küresel ihtiyaçların beraberinde getirdiği bu artışın sebeplerini, toplumsal bilinçlenme ve yasal zorunluluklar oluşturmaktadır. Bu yasal zorunlulukların etkilediği sektörlerden biri de madencilik sektörüdür.</w:t>
      </w:r>
    </w:p>
    <w:p w14:paraId="750542E5" w14:textId="77777777" w:rsidR="001C7732" w:rsidRPr="001C7732" w:rsidRDefault="001C7732" w:rsidP="001C7732">
      <w:pPr>
        <w:jc w:val="both"/>
        <w:rPr>
          <w:sz w:val="18"/>
          <w:szCs w:val="18"/>
        </w:rPr>
      </w:pPr>
    </w:p>
    <w:p w14:paraId="517D83D7" w14:textId="65E432BE" w:rsidR="001C7732" w:rsidRDefault="001C7732" w:rsidP="001C7732">
      <w:pPr>
        <w:jc w:val="both"/>
        <w:rPr>
          <w:sz w:val="18"/>
          <w:szCs w:val="18"/>
        </w:rPr>
      </w:pPr>
      <w:r w:rsidRPr="001C7732">
        <w:rPr>
          <w:sz w:val="18"/>
          <w:szCs w:val="18"/>
        </w:rPr>
        <w:t xml:space="preserve">Madencilik, yer altı zenginliklerinin doğada bulundukları yerden çıkarılması ile ilgili kazı, delme, patlatma, yükleme gibi işlemleri yaparken çevreye de doğrudan ve dolaylı etkileri olan bir sektördür. </w:t>
      </w:r>
    </w:p>
    <w:p w14:paraId="7E7B7E0F" w14:textId="77777777" w:rsidR="001C7732" w:rsidRPr="001C7732" w:rsidRDefault="001C7732" w:rsidP="001C7732">
      <w:pPr>
        <w:jc w:val="both"/>
        <w:rPr>
          <w:sz w:val="18"/>
          <w:szCs w:val="18"/>
        </w:rPr>
      </w:pPr>
    </w:p>
    <w:p w14:paraId="5737BE26" w14:textId="629FF9E3" w:rsidR="001C7732" w:rsidRDefault="001C7732" w:rsidP="001C7732">
      <w:pPr>
        <w:jc w:val="both"/>
        <w:rPr>
          <w:sz w:val="18"/>
          <w:szCs w:val="18"/>
        </w:rPr>
      </w:pPr>
      <w:r w:rsidRPr="001C7732">
        <w:rPr>
          <w:sz w:val="18"/>
          <w:szCs w:val="18"/>
        </w:rPr>
        <w:t>Ülkemizde bu sektörün faaliyet gösterebilmesi için firmaların ruhsat sahibi olduktan sonra Maden Kanunu’nun 7. Maddesi’nde yer alan izinleri tamamlamış olması gerekmektedir. Bu izinler; Maden Mevzuatı’nın yanı sıra ilgili diğer bakanlıklar ve kurumların kendi mevzuatlarına göre de verilmektedir.</w:t>
      </w:r>
    </w:p>
    <w:p w14:paraId="2E425DCC" w14:textId="77777777" w:rsidR="001C7732" w:rsidRPr="001C7732" w:rsidRDefault="001C7732" w:rsidP="001C7732">
      <w:pPr>
        <w:jc w:val="both"/>
        <w:rPr>
          <w:sz w:val="18"/>
          <w:szCs w:val="18"/>
        </w:rPr>
      </w:pPr>
    </w:p>
    <w:p w14:paraId="108698FD" w14:textId="431516E7" w:rsidR="001C7732" w:rsidRDefault="001C7732" w:rsidP="001C7732">
      <w:pPr>
        <w:jc w:val="both"/>
        <w:rPr>
          <w:sz w:val="18"/>
          <w:szCs w:val="18"/>
        </w:rPr>
      </w:pPr>
      <w:r w:rsidRPr="001C7732">
        <w:rPr>
          <w:sz w:val="18"/>
          <w:szCs w:val="18"/>
        </w:rPr>
        <w:t>Çevre Mevzuatı’nın temelini oluşturan Çevre Kanunu’na göre, yatırımlarımızın yasal izinler anlamında ilk basamağını “Çevresel Etki Değerlendirmesi Yönetmeliği” oluşturmaktadır. Gerçekleştirilmesi planlanan yatırımların çevresel etkilerini kümülatif olarak değerlendiren ve bu etkileri önlemek ya da azaltmak için yapılacak çalışmaları belirleyen rapor/dosya, bu yönetmelik kapsamında hazırlanmaktadır. Madencilik sektörü de ÇED Yönetmeliği Ek-1 ve Ek-2 listelerinde farklı ana başlıklar altında toplanmış; ruhsat alan büyüklükleri, üretim kapasiteleri ve yöntemlerine göre alt maddeleri oluşturulmuştur.</w:t>
      </w:r>
    </w:p>
    <w:p w14:paraId="1B1C73D0" w14:textId="77777777" w:rsidR="001C7732" w:rsidRPr="001C7732" w:rsidRDefault="001C7732" w:rsidP="001C7732">
      <w:pPr>
        <w:jc w:val="both"/>
        <w:rPr>
          <w:sz w:val="18"/>
          <w:szCs w:val="18"/>
        </w:rPr>
      </w:pPr>
    </w:p>
    <w:p w14:paraId="431341B6" w14:textId="2D93A883" w:rsidR="001C7732" w:rsidRPr="001C7732" w:rsidRDefault="001C7732" w:rsidP="001C7732">
      <w:pPr>
        <w:jc w:val="both"/>
        <w:rPr>
          <w:b/>
          <w:bCs/>
          <w:sz w:val="18"/>
          <w:szCs w:val="18"/>
        </w:rPr>
      </w:pPr>
      <w:r w:rsidRPr="001C7732">
        <w:rPr>
          <w:b/>
          <w:bCs/>
          <w:sz w:val="18"/>
          <w:szCs w:val="18"/>
        </w:rPr>
        <w:t>Madencilik Faaliyetlerinin ÇED Yönetmeliği’ndeki Yeri</w:t>
      </w:r>
    </w:p>
    <w:p w14:paraId="54CCAFB1" w14:textId="14B47B0A" w:rsidR="001C7732" w:rsidRDefault="001C7732" w:rsidP="001C7732">
      <w:pPr>
        <w:jc w:val="both"/>
        <w:rPr>
          <w:sz w:val="18"/>
          <w:szCs w:val="18"/>
        </w:rPr>
      </w:pPr>
      <w:r w:rsidRPr="001C7732">
        <w:rPr>
          <w:sz w:val="18"/>
          <w:szCs w:val="18"/>
        </w:rPr>
        <w:t>ÇED Yönetmeliği Ek-1 Listesinde yer alan madencilik projeleri;</w:t>
      </w:r>
    </w:p>
    <w:p w14:paraId="6AE0F31D" w14:textId="06F471B2" w:rsidR="001C7732" w:rsidRDefault="001C7732" w:rsidP="001C7732">
      <w:pPr>
        <w:jc w:val="both"/>
        <w:rPr>
          <w:sz w:val="18"/>
          <w:szCs w:val="18"/>
        </w:rPr>
      </w:pPr>
      <w:r>
        <w:rPr>
          <w:sz w:val="18"/>
          <w:szCs w:val="18"/>
        </w:rPr>
        <mc:AlternateContent>
          <mc:Choice Requires="wps">
            <w:drawing>
              <wp:anchor distT="0" distB="0" distL="114300" distR="114300" simplePos="0" relativeHeight="251659264" behindDoc="0" locked="0" layoutInCell="1" allowOverlap="1" wp14:anchorId="6ABA6F89" wp14:editId="622A8EE0">
                <wp:simplePos x="0" y="0"/>
                <wp:positionH relativeFrom="column">
                  <wp:posOffset>37276</wp:posOffset>
                </wp:positionH>
                <wp:positionV relativeFrom="paragraph">
                  <wp:posOffset>119810</wp:posOffset>
                </wp:positionV>
                <wp:extent cx="4496430" cy="1889257"/>
                <wp:effectExtent l="0" t="0" r="12700" b="15875"/>
                <wp:wrapNone/>
                <wp:docPr id="2" name="Dikdörtgen 2"/>
                <wp:cNvGraphicFramePr/>
                <a:graphic xmlns:a="http://schemas.openxmlformats.org/drawingml/2006/main">
                  <a:graphicData uri="http://schemas.microsoft.com/office/word/2010/wordprocessingShape">
                    <wps:wsp>
                      <wps:cNvSpPr/>
                      <wps:spPr>
                        <a:xfrm>
                          <a:off x="0" y="0"/>
                          <a:ext cx="4496430" cy="1889257"/>
                        </a:xfrm>
                        <a:prstGeom prst="rect">
                          <a:avLst/>
                        </a:prstGeom>
                        <a:solidFill>
                          <a:schemeClr val="accent1">
                            <a:alpha val="18000"/>
                          </a:schemeClr>
                        </a:solidFill>
                        <a:ln>
                          <a:solidFill>
                            <a:schemeClr val="accent1">
                              <a:shade val="50000"/>
                              <a:alpha val="6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CE847" w14:textId="62118371" w:rsidR="001803A6" w:rsidRDefault="001803A6" w:rsidP="001803A6">
                            <w:pPr>
                              <w:pStyle w:val="GenelMEtinGENEL"/>
                            </w:pPr>
                            <w:r>
                              <w:t>27- Madencilik projeleri:</w:t>
                            </w:r>
                          </w:p>
                          <w:p w14:paraId="6AB44E98" w14:textId="77777777" w:rsidR="001803A6" w:rsidRDefault="001803A6" w:rsidP="001803A6">
                            <w:pPr>
                              <w:pStyle w:val="GenelMEtinGENEL"/>
                              <w:spacing w:after="0"/>
                            </w:pPr>
                            <w:r>
                              <w:t>a) (</w:t>
                            </w:r>
                            <w:proofErr w:type="gramStart"/>
                            <w:r>
                              <w:t>Değişik:RG</w:t>
                            </w:r>
                            <w:proofErr w:type="gramEnd"/>
                            <w:r>
                              <w:t>-19/4/2019-30750) 25 hektar ve üzeri arazi yüzeyinde (Kazı ve döküm alanı dahil) planlanan açık işletmeler,</w:t>
                            </w:r>
                          </w:p>
                          <w:p w14:paraId="2237FE8E" w14:textId="77777777" w:rsidR="001803A6" w:rsidRDefault="001803A6" w:rsidP="001803A6">
                            <w:pPr>
                              <w:pStyle w:val="GenelMEtinGENEL"/>
                              <w:spacing w:after="0"/>
                            </w:pPr>
                            <w:r>
                              <w:t>b) 150 hektarı aşan (Kazı ve döküm alanı toplamı olarak) çalışma alanında açık işletme yöntemi ile kömür çıkarma,</w:t>
                            </w:r>
                          </w:p>
                          <w:p w14:paraId="592D3F30" w14:textId="77777777" w:rsidR="001803A6" w:rsidRDefault="001803A6" w:rsidP="001803A6">
                            <w:pPr>
                              <w:pStyle w:val="GenelMEtinGENEL"/>
                              <w:spacing w:after="0"/>
                            </w:pPr>
                            <w:r>
                              <w:t>c) Biyolojik, kimyasal, elektrolitik ya da ısıl işlem yöntemleri uygulanan cevher zenginleştirme tesisleri ve/veya bu zenginleştirme tesislerine ilişkin atık tesisleri,</w:t>
                            </w:r>
                          </w:p>
                          <w:p w14:paraId="37DDF7B8" w14:textId="77777777" w:rsidR="001803A6" w:rsidRDefault="001803A6" w:rsidP="001803A6">
                            <w:pPr>
                              <w:pStyle w:val="GenelMEtinGENEL"/>
                            </w:pPr>
                            <w:proofErr w:type="gramStart"/>
                            <w:r>
                              <w:t>ç</w:t>
                            </w:r>
                            <w:proofErr w:type="gramEnd"/>
                            <w:r>
                              <w:t>) 400.000 ton/yıl ve üzeri kırma, eleme, yıkama ve cevher hazırlama işlemlerinden en az birini yapan tesisler.</w:t>
                            </w:r>
                          </w:p>
                          <w:p w14:paraId="5EEC684E" w14:textId="77777777" w:rsidR="001803A6" w:rsidRDefault="001803A6" w:rsidP="001803A6">
                            <w:pPr>
                              <w:pStyle w:val="GenelMEtinGENEL"/>
                            </w:pPr>
                            <w:r>
                              <w:t>28- 500 ton/gün ham petrol, 500.000 m</w:t>
                            </w:r>
                            <w:r>
                              <w:rPr>
                                <w:vertAlign w:val="superscript"/>
                              </w:rPr>
                              <w:t>3</w:t>
                            </w:r>
                            <w:r>
                              <w:t>/gün doğal gaz veya kaya gazının çıkarılması,</w:t>
                            </w:r>
                          </w:p>
                          <w:p w14:paraId="54EC8368" w14:textId="77777777" w:rsidR="001803A6" w:rsidRPr="001803A6" w:rsidRDefault="001803A6" w:rsidP="001803A6"/>
                          <w:p w14:paraId="22B60DD3" w14:textId="3A4B53AE" w:rsidR="001C7732" w:rsidRDefault="001C7732" w:rsidP="001C773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ABA6F89" id="Dikdörtgen 2" o:spid="_x0000_s1026" style="position:absolute;left:0;text-align:left;margin-left:2.95pt;margin-top:9.45pt;width:354.05pt;height:14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" fillcolor="#4472c4 [3204]" strokecolor="#1f3763 [1604]" strokeweight="1pt">
                <v:fill opacity="11822f"/>
                <v:stroke opacity="3855f"/>
                <v:textbox>
                  <w:txbxContent>
                    <w:p w14:paraId="25ACE847" w14:textId="62118371" w:rsidR="001803A6" w:rsidRDefault="001803A6" w:rsidP="001803A6">
                      <w:pPr>
                        <w:pStyle w:val="GenelMEtinGENEL"/>
                      </w:pPr>
                      <w:r>
                        <w:t>27- Madencilik projeleri:</w:t>
                      </w:r>
                    </w:p>
                    <w:p w14:paraId="6AB44E98" w14:textId="77777777" w:rsidR="001803A6" w:rsidRDefault="001803A6" w:rsidP="001803A6">
                      <w:pPr>
                        <w:pStyle w:val="GenelMEtinGENEL"/>
                        <w:spacing w:after="0"/>
                      </w:pPr>
                      <w:r>
                        <w:t>a) (</w:t>
                      </w:r>
                      <w:proofErr w:type="gramStart"/>
                      <w:r>
                        <w:t>Değişik:RG</w:t>
                      </w:r>
                      <w:proofErr w:type="gramEnd"/>
                      <w:r>
                        <w:t>-19/4/2019-30750) 25 hektar ve üzeri arazi yüzeyinde (Kazı ve döküm alanı dahil) planlanan açık işletmeler,</w:t>
                      </w:r>
                    </w:p>
                    <w:p w14:paraId="2237FE8E" w14:textId="77777777" w:rsidR="001803A6" w:rsidRDefault="001803A6" w:rsidP="001803A6">
                      <w:pPr>
                        <w:pStyle w:val="GenelMEtinGENEL"/>
                        <w:spacing w:after="0"/>
                      </w:pPr>
                      <w:r>
                        <w:t>b) 150 hektarı aşan (Kazı ve döküm alanı toplamı olarak) çalışma alanında açık işletme yöntemi ile kömür çıkarma,</w:t>
                      </w:r>
                    </w:p>
                    <w:p w14:paraId="592D3F30" w14:textId="77777777" w:rsidR="001803A6" w:rsidRDefault="001803A6" w:rsidP="001803A6">
                      <w:pPr>
                        <w:pStyle w:val="GenelMEtinGENEL"/>
                        <w:spacing w:after="0"/>
                      </w:pPr>
                      <w:r>
                        <w:t>c) Biyolojik, kimyasal, elektrolitik ya da ısıl işlem yöntemleri uygulanan cevher zenginleştirme tesisleri ve/veya bu zenginleştirme tesislerine ilişkin atık tesisleri,</w:t>
                      </w:r>
                    </w:p>
                    <w:p w14:paraId="37DDF7B8" w14:textId="77777777" w:rsidR="001803A6" w:rsidRDefault="001803A6" w:rsidP="001803A6">
                      <w:pPr>
                        <w:pStyle w:val="GenelMEtinGENEL"/>
                      </w:pPr>
                      <w:proofErr w:type="gramStart"/>
                      <w:r>
                        <w:t>ç</w:t>
                      </w:r>
                      <w:proofErr w:type="gramEnd"/>
                      <w:r>
                        <w:t>) 400.000 ton/yıl ve üzeri kırma, eleme, yıkama ve cevher hazırlama işlemlerinden en az birini yapan tesisler.</w:t>
                      </w:r>
                    </w:p>
                    <w:p w14:paraId="5EEC684E" w14:textId="77777777" w:rsidR="001803A6" w:rsidRDefault="001803A6" w:rsidP="001803A6">
                      <w:pPr>
                        <w:pStyle w:val="GenelMEtinGENEL"/>
                      </w:pPr>
                      <w:r>
                        <w:t>28- 500 ton/gün ham petrol, 500.000 m</w:t>
                      </w:r>
                      <w:r>
                        <w:rPr>
                          <w:vertAlign w:val="superscript"/>
                        </w:rPr>
                        <w:t>3</w:t>
                      </w:r>
                      <w:r>
                        <w:t>/gün doğal gaz veya kaya gazının çıkarılması,</w:t>
                      </w:r>
                    </w:p>
                    <w:p w14:paraId="54EC8368" w14:textId="77777777" w:rsidR="001803A6" w:rsidRPr="001803A6" w:rsidRDefault="001803A6" w:rsidP="001803A6"/>
                    <w:p w14:paraId="22B60DD3" w14:textId="3A4B53AE" w:rsidR="001C7732" w:rsidRDefault="001C7732" w:rsidP="001C7732">
                      <w:pPr>
                        <w:jc w:val="center"/>
                      </w:pPr>
                    </w:p>
                  </w:txbxContent>
                </v:textbox>
              </v:rect>
            </w:pict>
          </mc:Fallback>
        </mc:AlternateContent>
      </w:r>
    </w:p>
    <w:p w14:paraId="4EA8A61D" w14:textId="51918FF1" w:rsidR="001C7732" w:rsidRDefault="001C7732" w:rsidP="001C7732">
      <w:pPr>
        <w:jc w:val="both"/>
        <w:rPr>
          <w:sz w:val="18"/>
          <w:szCs w:val="18"/>
        </w:rPr>
      </w:pPr>
    </w:p>
    <w:p w14:paraId="1D4B8E36" w14:textId="769B7CE3" w:rsidR="001C7732" w:rsidRDefault="001C7732" w:rsidP="001C7732">
      <w:pPr>
        <w:jc w:val="both"/>
        <w:rPr>
          <w:sz w:val="18"/>
          <w:szCs w:val="18"/>
        </w:rPr>
      </w:pPr>
    </w:p>
    <w:p w14:paraId="46131769" w14:textId="5AC69EBC" w:rsidR="001C7732" w:rsidRPr="001C7732" w:rsidRDefault="001C7732" w:rsidP="001C7732">
      <w:pPr>
        <w:jc w:val="both"/>
        <w:rPr>
          <w:sz w:val="18"/>
          <w:szCs w:val="18"/>
        </w:rPr>
      </w:pPr>
    </w:p>
    <w:p w14:paraId="7973FC2A" w14:textId="77777777" w:rsidR="001C7732" w:rsidRDefault="001C7732" w:rsidP="001C7732">
      <w:pPr>
        <w:jc w:val="both"/>
        <w:rPr>
          <w:sz w:val="18"/>
          <w:szCs w:val="18"/>
        </w:rPr>
      </w:pPr>
    </w:p>
    <w:p w14:paraId="4C51BECA" w14:textId="76CEE759" w:rsidR="001C7732" w:rsidRDefault="001C7732" w:rsidP="001C7732">
      <w:pPr>
        <w:jc w:val="both"/>
        <w:rPr>
          <w:sz w:val="18"/>
          <w:szCs w:val="18"/>
        </w:rPr>
      </w:pPr>
    </w:p>
    <w:p w14:paraId="6A0CB383" w14:textId="7070A48A" w:rsidR="001C7732" w:rsidRDefault="001C7732" w:rsidP="001C7732">
      <w:pPr>
        <w:jc w:val="both"/>
        <w:rPr>
          <w:sz w:val="18"/>
          <w:szCs w:val="18"/>
        </w:rPr>
      </w:pPr>
    </w:p>
    <w:p w14:paraId="7C36E601" w14:textId="606BFE8B" w:rsidR="001C7732" w:rsidRDefault="001C7732" w:rsidP="001C7732">
      <w:pPr>
        <w:jc w:val="both"/>
        <w:rPr>
          <w:sz w:val="18"/>
          <w:szCs w:val="18"/>
        </w:rPr>
      </w:pPr>
    </w:p>
    <w:p w14:paraId="0BCC2C8C" w14:textId="0A5BE9E9" w:rsidR="001C7732" w:rsidRDefault="001C7732" w:rsidP="001C7732">
      <w:pPr>
        <w:jc w:val="both"/>
        <w:rPr>
          <w:sz w:val="18"/>
          <w:szCs w:val="18"/>
        </w:rPr>
      </w:pPr>
    </w:p>
    <w:p w14:paraId="49A6DA68" w14:textId="266F90C5" w:rsidR="001C7732" w:rsidRDefault="001C7732" w:rsidP="001C7732">
      <w:pPr>
        <w:jc w:val="both"/>
        <w:rPr>
          <w:sz w:val="18"/>
          <w:szCs w:val="18"/>
        </w:rPr>
      </w:pPr>
    </w:p>
    <w:p w14:paraId="554249CE" w14:textId="3D1D5349" w:rsidR="001C7732" w:rsidRDefault="001C7732" w:rsidP="001C7732">
      <w:pPr>
        <w:jc w:val="both"/>
        <w:rPr>
          <w:sz w:val="18"/>
          <w:szCs w:val="18"/>
        </w:rPr>
      </w:pPr>
    </w:p>
    <w:p w14:paraId="4FECC026" w14:textId="4A87399E" w:rsidR="001C7732" w:rsidRDefault="001C7732" w:rsidP="001C7732">
      <w:pPr>
        <w:jc w:val="both"/>
        <w:rPr>
          <w:sz w:val="18"/>
          <w:szCs w:val="18"/>
        </w:rPr>
      </w:pPr>
    </w:p>
    <w:p w14:paraId="7B635367" w14:textId="50EE22C0" w:rsidR="001C7732" w:rsidRDefault="001C7732" w:rsidP="001C7732">
      <w:pPr>
        <w:jc w:val="both"/>
        <w:rPr>
          <w:sz w:val="18"/>
          <w:szCs w:val="18"/>
        </w:rPr>
      </w:pPr>
    </w:p>
    <w:p w14:paraId="50E5501C" w14:textId="7F0769E9" w:rsidR="001C7732" w:rsidRDefault="001C7732" w:rsidP="001C7732">
      <w:pPr>
        <w:jc w:val="both"/>
        <w:rPr>
          <w:sz w:val="18"/>
          <w:szCs w:val="18"/>
        </w:rPr>
      </w:pPr>
    </w:p>
    <w:p w14:paraId="7875CD02" w14:textId="09888896" w:rsidR="001C7732" w:rsidRDefault="001C7732" w:rsidP="001C7732">
      <w:pPr>
        <w:jc w:val="both"/>
        <w:rPr>
          <w:sz w:val="18"/>
          <w:szCs w:val="18"/>
        </w:rPr>
      </w:pPr>
    </w:p>
    <w:p w14:paraId="4B7D0B91" w14:textId="6C0052D2" w:rsidR="001C7732" w:rsidRDefault="001C7732" w:rsidP="001C7732">
      <w:pPr>
        <w:jc w:val="both"/>
        <w:rPr>
          <w:sz w:val="18"/>
          <w:szCs w:val="18"/>
        </w:rPr>
      </w:pPr>
      <w:r w:rsidRPr="001C7732">
        <w:rPr>
          <w:sz w:val="18"/>
          <w:szCs w:val="18"/>
        </w:rPr>
        <w:t>ÇED Yönetmeliği Ek-2 Listesinde yer alan madencilik projeleri;</w:t>
      </w:r>
    </w:p>
    <w:p w14:paraId="21865BAB" w14:textId="4B7B937A" w:rsidR="001803A6" w:rsidRDefault="001803A6" w:rsidP="001C7732">
      <w:pPr>
        <w:jc w:val="both"/>
        <w:rPr>
          <w:sz w:val="18"/>
          <w:szCs w:val="18"/>
        </w:rPr>
      </w:pPr>
      <w:r>
        <w:rPr>
          <w:sz w:val="18"/>
          <w:szCs w:val="18"/>
        </w:rPr>
        <mc:AlternateContent>
          <mc:Choice Requires="wps">
            <w:drawing>
              <wp:anchor distT="0" distB="0" distL="114300" distR="114300" simplePos="0" relativeHeight="251661312" behindDoc="0" locked="0" layoutInCell="1" allowOverlap="1" wp14:anchorId="3D1A451F" wp14:editId="0EE903AD">
                <wp:simplePos x="0" y="0"/>
                <wp:positionH relativeFrom="column">
                  <wp:posOffset>-509</wp:posOffset>
                </wp:positionH>
                <wp:positionV relativeFrom="paragraph">
                  <wp:posOffset>93803</wp:posOffset>
                </wp:positionV>
                <wp:extent cx="4495800" cy="2690300"/>
                <wp:effectExtent l="0" t="0" r="12700" b="15240"/>
                <wp:wrapNone/>
                <wp:docPr id="3" name="Dikdörtgen 3"/>
                <wp:cNvGraphicFramePr/>
                <a:graphic xmlns:a="http://schemas.openxmlformats.org/drawingml/2006/main">
                  <a:graphicData uri="http://schemas.microsoft.com/office/word/2010/wordprocessingShape">
                    <wps:wsp>
                      <wps:cNvSpPr/>
                      <wps:spPr>
                        <a:xfrm>
                          <a:off x="0" y="0"/>
                          <a:ext cx="4495800" cy="2690300"/>
                        </a:xfrm>
                        <a:prstGeom prst="rect">
                          <a:avLst/>
                        </a:prstGeom>
                        <a:solidFill>
                          <a:schemeClr val="accent1">
                            <a:alpha val="18000"/>
                          </a:schemeClr>
                        </a:solidFill>
                        <a:ln>
                          <a:solidFill>
                            <a:schemeClr val="accent1">
                              <a:shade val="50000"/>
                              <a:alpha val="6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31D48" w14:textId="77777777" w:rsidR="001803A6" w:rsidRDefault="001803A6" w:rsidP="001803A6">
                            <w:pPr>
                              <w:pStyle w:val="GenelMEtinGENEL"/>
                            </w:pPr>
                            <w:r>
                              <w:t>25- Tuzun çıkarıldığı ve/veya işlendiği tesisler, (Eleme, paketleme hariç)</w:t>
                            </w:r>
                          </w:p>
                          <w:p w14:paraId="76571B89" w14:textId="77777777" w:rsidR="001803A6" w:rsidRDefault="001803A6" w:rsidP="001803A6">
                            <w:pPr>
                              <w:pStyle w:val="GenelMEtinGENEL"/>
                            </w:pPr>
                            <w:r>
                              <w:t>49- Madencilik projeleri:</w:t>
                            </w:r>
                          </w:p>
                          <w:p w14:paraId="06C84272" w14:textId="77777777" w:rsidR="001803A6" w:rsidRDefault="001803A6" w:rsidP="001803A6">
                            <w:pPr>
                              <w:pStyle w:val="GenelMEtinGENEL"/>
                              <w:spacing w:after="0"/>
                            </w:pPr>
                            <w:r>
                              <w:t>a) (</w:t>
                            </w:r>
                            <w:proofErr w:type="gramStart"/>
                            <w:r>
                              <w:t>Değişik:RG</w:t>
                            </w:r>
                            <w:proofErr w:type="gramEnd"/>
                            <w:r>
                              <w:t>-14/6/2018-30451) Madenlerin çıkarılması (Ek-1 listesinde yer almayanlar),</w:t>
                            </w:r>
                          </w:p>
                          <w:p w14:paraId="4BA9C3A4" w14:textId="77777777" w:rsidR="001803A6" w:rsidRDefault="001803A6" w:rsidP="001803A6">
                            <w:pPr>
                              <w:pStyle w:val="GenelMEtinGENEL"/>
                              <w:spacing w:after="0"/>
                            </w:pPr>
                            <w:r>
                              <w:t>b) Yıllık 5.000 m</w:t>
                            </w:r>
                            <w:r>
                              <w:rPr>
                                <w:vertAlign w:val="superscript"/>
                              </w:rPr>
                              <w:t>3</w:t>
                            </w:r>
                            <w:r>
                              <w:t xml:space="preserve"> ve/veya 250.000 m</w:t>
                            </w:r>
                            <w:r>
                              <w:rPr>
                                <w:vertAlign w:val="superscript"/>
                              </w:rPr>
                              <w:t>2</w:t>
                            </w:r>
                            <w:r>
                              <w:t xml:space="preserve"> ve üzeri kapasiteli mermer ve dekoratif taşların kesme, işleme ve </w:t>
                            </w:r>
                            <w:proofErr w:type="spellStart"/>
                            <w:r>
                              <w:t>sayalama</w:t>
                            </w:r>
                            <w:proofErr w:type="spellEnd"/>
                            <w:r>
                              <w:t xml:space="preserve"> tesisleri,</w:t>
                            </w:r>
                          </w:p>
                          <w:p w14:paraId="4AC33535" w14:textId="77777777" w:rsidR="001803A6" w:rsidRDefault="001803A6" w:rsidP="001803A6">
                            <w:pPr>
                              <w:pStyle w:val="GenelMEtinGENEL"/>
                              <w:spacing w:after="0"/>
                            </w:pPr>
                            <w:r>
                              <w:t>c) 1.000.000 m</w:t>
                            </w:r>
                            <w:r>
                              <w:rPr>
                                <w:vertAlign w:val="superscript"/>
                              </w:rPr>
                              <w:t>3</w:t>
                            </w:r>
                            <w:r>
                              <w:t>/yıl ve üzerinde metan gazının çıkartılması ve depolanması,</w:t>
                            </w:r>
                          </w:p>
                          <w:p w14:paraId="3DDD08CC" w14:textId="77777777" w:rsidR="001803A6" w:rsidRDefault="001803A6" w:rsidP="001803A6">
                            <w:pPr>
                              <w:pStyle w:val="GenelMEtinGENEL"/>
                              <w:spacing w:after="0"/>
                            </w:pPr>
                            <w:proofErr w:type="gramStart"/>
                            <w:r>
                              <w:t>ç</w:t>
                            </w:r>
                            <w:proofErr w:type="gramEnd"/>
                            <w:r>
                              <w:t>) Karbondioksit, kaya gazı ve diğer gazların çıkartıldığı, depolandığı veya işlendiği tesisler, (Atölye tipi dolum tesisleri hariç)</w:t>
                            </w:r>
                          </w:p>
                          <w:p w14:paraId="63A74C14" w14:textId="77777777" w:rsidR="001803A6" w:rsidRDefault="001803A6" w:rsidP="001803A6">
                            <w:pPr>
                              <w:pStyle w:val="GenelMEtinGENEL"/>
                              <w:spacing w:after="0"/>
                            </w:pPr>
                            <w:r>
                              <w:t>d) Kırma, eleme, yıkama ve cevher hazırlama işlemlerinden en az birini yapan tesisler, (Ek-1 listesinde yer almayanlar)</w:t>
                            </w:r>
                          </w:p>
                          <w:p w14:paraId="241E9088" w14:textId="4BF9C3E0" w:rsidR="001803A6" w:rsidRDefault="001803A6" w:rsidP="001803A6">
                            <w:pPr>
                              <w:pStyle w:val="GenelMEtinGENEL"/>
                              <w:spacing w:after="57"/>
                            </w:pPr>
                            <w:r>
                              <w:t xml:space="preserve">e) Cevher zenginleştirme tesisleri ve/veya bu zenginleştirme tesislerine ilişkin atık tesisleri, (Ek-1 listesinde yer almayanlar) </w:t>
                            </w:r>
                          </w:p>
                          <w:p w14:paraId="47DC48F5" w14:textId="68E7BE03" w:rsidR="001803A6" w:rsidRDefault="001803A6" w:rsidP="001803A6"/>
                          <w:p w14:paraId="48B635CF" w14:textId="77777777" w:rsidR="001803A6" w:rsidRDefault="001803A6" w:rsidP="001803A6">
                            <w:pPr>
                              <w:pStyle w:val="GenelMEtinGENEL"/>
                            </w:pPr>
                            <w:r>
                              <w:t>55- Maden, petrol ve jeotermal kaynak arama projeleri, (Sismik, elektrik, manyetik, elektromanyetik, jeofizik vb. yöntemle yapılan aramalar hariç)</w:t>
                            </w:r>
                          </w:p>
                          <w:p w14:paraId="1D715F38" w14:textId="77777777" w:rsidR="001803A6" w:rsidRPr="001803A6" w:rsidRDefault="001803A6" w:rsidP="001803A6"/>
                          <w:p w14:paraId="71C5F3C4" w14:textId="77777777" w:rsidR="001803A6" w:rsidRDefault="001803A6" w:rsidP="001C773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A451F" id="Dikdörtgen 3" o:spid="_x0000_s1027" style="position:absolute;left:0;text-align:left;margin-left:-.05pt;margin-top:7.4pt;width:354pt;height:2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" fillcolor="#4472c4 [3204]" strokecolor="#1f3763 [1604]" strokeweight="1pt">
                <v:fill opacity="11822f"/>
                <v:stroke opacity="3855f"/>
                <v:textbox>
                  <w:txbxContent>
                    <w:p w14:paraId="16131D48" w14:textId="77777777" w:rsidR="001803A6" w:rsidRDefault="001803A6" w:rsidP="001803A6">
                      <w:pPr>
                        <w:pStyle w:val="GenelMEtinGENEL"/>
                      </w:pPr>
                      <w:r>
                        <w:t>25- Tuzun çıkarıldığı ve/veya işlendiği tesisler, (Eleme, paketleme hariç)</w:t>
                      </w:r>
                    </w:p>
                    <w:p w14:paraId="76571B89" w14:textId="77777777" w:rsidR="001803A6" w:rsidRDefault="001803A6" w:rsidP="001803A6">
                      <w:pPr>
                        <w:pStyle w:val="GenelMEtinGENEL"/>
                      </w:pPr>
                      <w:r>
                        <w:t>49- Madencilik projeleri:</w:t>
                      </w:r>
                    </w:p>
                    <w:p w14:paraId="06C84272" w14:textId="77777777" w:rsidR="001803A6" w:rsidRDefault="001803A6" w:rsidP="001803A6">
                      <w:pPr>
                        <w:pStyle w:val="GenelMEtinGENEL"/>
                        <w:spacing w:after="0"/>
                      </w:pPr>
                      <w:r>
                        <w:t>a) (</w:t>
                      </w:r>
                      <w:proofErr w:type="gramStart"/>
                      <w:r>
                        <w:t>Değişik:RG</w:t>
                      </w:r>
                      <w:proofErr w:type="gramEnd"/>
                      <w:r>
                        <w:t>-14/6/2018-30451) Madenlerin çıkarılması (Ek-1 listesinde yer almayanlar),</w:t>
                      </w:r>
                    </w:p>
                    <w:p w14:paraId="4BA9C3A4" w14:textId="77777777" w:rsidR="001803A6" w:rsidRDefault="001803A6" w:rsidP="001803A6">
                      <w:pPr>
                        <w:pStyle w:val="GenelMEtinGENEL"/>
                        <w:spacing w:after="0"/>
                      </w:pPr>
                      <w:r>
                        <w:t>b) Yıllık 5.000 m</w:t>
                      </w:r>
                      <w:r>
                        <w:rPr>
                          <w:vertAlign w:val="superscript"/>
                        </w:rPr>
                        <w:t>3</w:t>
                      </w:r>
                      <w:r>
                        <w:t xml:space="preserve"> ve/veya 250.000 m</w:t>
                      </w:r>
                      <w:r>
                        <w:rPr>
                          <w:vertAlign w:val="superscript"/>
                        </w:rPr>
                        <w:t>2</w:t>
                      </w:r>
                      <w:r>
                        <w:t xml:space="preserve"> ve üzeri kapasiteli mermer ve dekoratif taşların kesme, işleme ve </w:t>
                      </w:r>
                      <w:proofErr w:type="spellStart"/>
                      <w:r>
                        <w:t>sayalama</w:t>
                      </w:r>
                      <w:proofErr w:type="spellEnd"/>
                      <w:r>
                        <w:t xml:space="preserve"> tesisleri,</w:t>
                      </w:r>
                    </w:p>
                    <w:p w14:paraId="4AC33535" w14:textId="77777777" w:rsidR="001803A6" w:rsidRDefault="001803A6" w:rsidP="001803A6">
                      <w:pPr>
                        <w:pStyle w:val="GenelMEtinGENEL"/>
                        <w:spacing w:after="0"/>
                      </w:pPr>
                      <w:r>
                        <w:t>c) 1.000.000 m</w:t>
                      </w:r>
                      <w:r>
                        <w:rPr>
                          <w:vertAlign w:val="superscript"/>
                        </w:rPr>
                        <w:t>3</w:t>
                      </w:r>
                      <w:r>
                        <w:t>/yıl ve üzerinde metan gazının çıkartılması ve depolanması,</w:t>
                      </w:r>
                    </w:p>
                    <w:p w14:paraId="3DDD08CC" w14:textId="77777777" w:rsidR="001803A6" w:rsidRDefault="001803A6" w:rsidP="001803A6">
                      <w:pPr>
                        <w:pStyle w:val="GenelMEtinGENEL"/>
                        <w:spacing w:after="0"/>
                      </w:pPr>
                      <w:proofErr w:type="gramStart"/>
                      <w:r>
                        <w:t>ç</w:t>
                      </w:r>
                      <w:proofErr w:type="gramEnd"/>
                      <w:r>
                        <w:t>) Karbondioksit, kaya gazı ve diğer gazların çıkartıldığı, depolandığı veya işlendiği tesisler, (Atölye tipi dolum tesisleri hariç)</w:t>
                      </w:r>
                    </w:p>
                    <w:p w14:paraId="63A74C14" w14:textId="77777777" w:rsidR="001803A6" w:rsidRDefault="001803A6" w:rsidP="001803A6">
                      <w:pPr>
                        <w:pStyle w:val="GenelMEtinGENEL"/>
                        <w:spacing w:after="0"/>
                      </w:pPr>
                      <w:r>
                        <w:t>d) Kırma, eleme, yıkama ve cevher hazırlama işlemlerinden en az birini yapan tesisler, (Ek-1 listesinde yer almayanlar)</w:t>
                      </w:r>
                    </w:p>
                    <w:p w14:paraId="241E9088" w14:textId="4BF9C3E0" w:rsidR="001803A6" w:rsidRDefault="001803A6" w:rsidP="001803A6">
                      <w:pPr>
                        <w:pStyle w:val="GenelMEtinGENEL"/>
                        <w:spacing w:after="57"/>
                      </w:pPr>
                      <w:r>
                        <w:t xml:space="preserve">e) Cevher zenginleştirme tesisleri ve/veya bu zenginleştirme tesislerine ilişkin atık tesisleri, (Ek-1 listesinde yer almayanlar) </w:t>
                      </w:r>
                    </w:p>
                    <w:p w14:paraId="47DC48F5" w14:textId="68E7BE03" w:rsidR="001803A6" w:rsidRDefault="001803A6" w:rsidP="001803A6"/>
                    <w:p w14:paraId="48B635CF" w14:textId="77777777" w:rsidR="001803A6" w:rsidRDefault="001803A6" w:rsidP="001803A6">
                      <w:pPr>
                        <w:pStyle w:val="GenelMEtinGENEL"/>
                      </w:pPr>
                      <w:r>
                        <w:t>55- Maden, petrol ve jeotermal kaynak arama projeleri, (Sismik, elektrik, manyetik, elektromanyetik, jeofizik vb. yöntemle yapılan aramalar hariç)</w:t>
                      </w:r>
                    </w:p>
                    <w:p w14:paraId="1D715F38" w14:textId="77777777" w:rsidR="001803A6" w:rsidRPr="001803A6" w:rsidRDefault="001803A6" w:rsidP="001803A6"/>
                    <w:p w14:paraId="71C5F3C4" w14:textId="77777777" w:rsidR="001803A6" w:rsidRDefault="001803A6" w:rsidP="001C7732">
                      <w:pPr>
                        <w:jc w:val="center"/>
                      </w:pPr>
                    </w:p>
                  </w:txbxContent>
                </v:textbox>
              </v:rect>
            </w:pict>
          </mc:Fallback>
        </mc:AlternateContent>
      </w:r>
    </w:p>
    <w:p w14:paraId="12252CB6" w14:textId="716504F1" w:rsidR="001803A6" w:rsidRDefault="001803A6" w:rsidP="001C7732">
      <w:pPr>
        <w:jc w:val="both"/>
        <w:rPr>
          <w:sz w:val="18"/>
          <w:szCs w:val="18"/>
        </w:rPr>
      </w:pPr>
    </w:p>
    <w:p w14:paraId="6F8F1441" w14:textId="5F08F766" w:rsidR="001803A6" w:rsidRDefault="001803A6" w:rsidP="001C7732">
      <w:pPr>
        <w:jc w:val="both"/>
        <w:rPr>
          <w:sz w:val="18"/>
          <w:szCs w:val="18"/>
        </w:rPr>
      </w:pPr>
    </w:p>
    <w:p w14:paraId="7607F292" w14:textId="29F1C82C" w:rsidR="001803A6" w:rsidRDefault="001803A6" w:rsidP="001C7732">
      <w:pPr>
        <w:jc w:val="both"/>
        <w:rPr>
          <w:sz w:val="18"/>
          <w:szCs w:val="18"/>
        </w:rPr>
      </w:pPr>
    </w:p>
    <w:p w14:paraId="3B9900A6" w14:textId="77BAB0C6" w:rsidR="001803A6" w:rsidRDefault="001803A6" w:rsidP="001C7732">
      <w:pPr>
        <w:jc w:val="both"/>
        <w:rPr>
          <w:sz w:val="18"/>
          <w:szCs w:val="18"/>
        </w:rPr>
      </w:pPr>
    </w:p>
    <w:p w14:paraId="501C9F47" w14:textId="751750AA" w:rsidR="001803A6" w:rsidRDefault="001803A6" w:rsidP="001C7732">
      <w:pPr>
        <w:jc w:val="both"/>
        <w:rPr>
          <w:sz w:val="18"/>
          <w:szCs w:val="18"/>
        </w:rPr>
      </w:pPr>
    </w:p>
    <w:p w14:paraId="1A7E7CDA" w14:textId="01886AAD" w:rsidR="001803A6" w:rsidRDefault="001803A6" w:rsidP="001C7732">
      <w:pPr>
        <w:jc w:val="both"/>
        <w:rPr>
          <w:sz w:val="18"/>
          <w:szCs w:val="18"/>
        </w:rPr>
      </w:pPr>
    </w:p>
    <w:p w14:paraId="69711A27" w14:textId="330549EC" w:rsidR="001803A6" w:rsidRDefault="001803A6" w:rsidP="001C7732">
      <w:pPr>
        <w:jc w:val="both"/>
        <w:rPr>
          <w:sz w:val="18"/>
          <w:szCs w:val="18"/>
        </w:rPr>
      </w:pPr>
    </w:p>
    <w:p w14:paraId="6CF1BC6C" w14:textId="10D66556" w:rsidR="001803A6" w:rsidRDefault="001803A6" w:rsidP="001C7732">
      <w:pPr>
        <w:jc w:val="both"/>
        <w:rPr>
          <w:sz w:val="18"/>
          <w:szCs w:val="18"/>
        </w:rPr>
      </w:pPr>
    </w:p>
    <w:p w14:paraId="0BFA4F84" w14:textId="1CC92211" w:rsidR="001803A6" w:rsidRDefault="001803A6" w:rsidP="001C7732">
      <w:pPr>
        <w:jc w:val="both"/>
        <w:rPr>
          <w:sz w:val="18"/>
          <w:szCs w:val="18"/>
        </w:rPr>
      </w:pPr>
    </w:p>
    <w:p w14:paraId="6B2CB8F8" w14:textId="2DC0F748" w:rsidR="001803A6" w:rsidRDefault="001803A6" w:rsidP="001C7732">
      <w:pPr>
        <w:jc w:val="both"/>
        <w:rPr>
          <w:sz w:val="18"/>
          <w:szCs w:val="18"/>
        </w:rPr>
      </w:pPr>
    </w:p>
    <w:p w14:paraId="5EDB624A" w14:textId="2156A89F" w:rsidR="001803A6" w:rsidRDefault="001803A6" w:rsidP="001C7732">
      <w:pPr>
        <w:jc w:val="both"/>
        <w:rPr>
          <w:sz w:val="18"/>
          <w:szCs w:val="18"/>
        </w:rPr>
      </w:pPr>
    </w:p>
    <w:p w14:paraId="148F9948" w14:textId="63F81780" w:rsidR="001803A6" w:rsidRDefault="001803A6" w:rsidP="001C7732">
      <w:pPr>
        <w:jc w:val="both"/>
        <w:rPr>
          <w:sz w:val="18"/>
          <w:szCs w:val="18"/>
        </w:rPr>
      </w:pPr>
    </w:p>
    <w:p w14:paraId="3FAA7A1E" w14:textId="0A1BAAF7" w:rsidR="001803A6" w:rsidRDefault="001803A6" w:rsidP="001C7732">
      <w:pPr>
        <w:jc w:val="both"/>
        <w:rPr>
          <w:sz w:val="18"/>
          <w:szCs w:val="18"/>
        </w:rPr>
      </w:pPr>
    </w:p>
    <w:p w14:paraId="627A85F1" w14:textId="77777777" w:rsidR="001803A6" w:rsidRPr="001C7732" w:rsidRDefault="001803A6" w:rsidP="001C7732">
      <w:pPr>
        <w:jc w:val="both"/>
        <w:rPr>
          <w:sz w:val="18"/>
          <w:szCs w:val="18"/>
        </w:rPr>
      </w:pPr>
    </w:p>
    <w:p w14:paraId="4786EE28" w14:textId="77777777" w:rsidR="001803A6" w:rsidRDefault="001803A6" w:rsidP="001C7732">
      <w:pPr>
        <w:jc w:val="both"/>
        <w:rPr>
          <w:sz w:val="18"/>
          <w:szCs w:val="18"/>
        </w:rPr>
      </w:pPr>
    </w:p>
    <w:p w14:paraId="163FDD76" w14:textId="77777777" w:rsidR="001803A6" w:rsidRDefault="001803A6" w:rsidP="001C7732">
      <w:pPr>
        <w:jc w:val="both"/>
        <w:rPr>
          <w:sz w:val="18"/>
          <w:szCs w:val="18"/>
        </w:rPr>
      </w:pPr>
    </w:p>
    <w:p w14:paraId="1123AFCC" w14:textId="77777777" w:rsidR="001803A6" w:rsidRDefault="001803A6" w:rsidP="001C7732">
      <w:pPr>
        <w:jc w:val="both"/>
        <w:rPr>
          <w:sz w:val="18"/>
          <w:szCs w:val="18"/>
        </w:rPr>
      </w:pPr>
    </w:p>
    <w:p w14:paraId="44A4206A" w14:textId="77777777" w:rsidR="001803A6" w:rsidRDefault="001803A6" w:rsidP="001C7732">
      <w:pPr>
        <w:jc w:val="both"/>
        <w:rPr>
          <w:sz w:val="18"/>
          <w:szCs w:val="18"/>
        </w:rPr>
      </w:pPr>
    </w:p>
    <w:p w14:paraId="2834BC69" w14:textId="77777777" w:rsidR="001803A6" w:rsidRDefault="001803A6" w:rsidP="001C7732">
      <w:pPr>
        <w:jc w:val="both"/>
        <w:rPr>
          <w:sz w:val="18"/>
          <w:szCs w:val="18"/>
        </w:rPr>
      </w:pPr>
    </w:p>
    <w:p w14:paraId="76BB3428" w14:textId="77777777" w:rsidR="001803A6" w:rsidRDefault="001803A6" w:rsidP="001C7732">
      <w:pPr>
        <w:jc w:val="both"/>
        <w:rPr>
          <w:sz w:val="18"/>
          <w:szCs w:val="18"/>
        </w:rPr>
      </w:pPr>
    </w:p>
    <w:p w14:paraId="17319398" w14:textId="06CCD361" w:rsidR="001C7732" w:rsidRPr="001C7732" w:rsidRDefault="001C7732" w:rsidP="001C7732">
      <w:pPr>
        <w:jc w:val="both"/>
        <w:rPr>
          <w:sz w:val="18"/>
          <w:szCs w:val="18"/>
        </w:rPr>
      </w:pPr>
      <w:r w:rsidRPr="001C7732">
        <w:rPr>
          <w:sz w:val="18"/>
          <w:szCs w:val="18"/>
        </w:rPr>
        <w:t>Bu maddeler kapsamında yer almayan, eşik değerlerin altında olan ya da yönetmeliğin geçici maddelerine tabii olan maden projeleri ise “ÇED Kapsam Dışı” olarak değerlendirilmektedir.</w:t>
      </w:r>
    </w:p>
    <w:p w14:paraId="63F7E07E" w14:textId="1C3EC6B0" w:rsidR="001C7732" w:rsidRDefault="001C7732" w:rsidP="001C7732">
      <w:pPr>
        <w:jc w:val="both"/>
        <w:rPr>
          <w:sz w:val="18"/>
          <w:szCs w:val="18"/>
        </w:rPr>
      </w:pPr>
      <w:r w:rsidRPr="001C7732">
        <w:rPr>
          <w:sz w:val="18"/>
          <w:szCs w:val="18"/>
        </w:rPr>
        <w:lastRenderedPageBreak/>
        <w:t xml:space="preserve">ÇED Yönetmeliği’nin ilk yayımlandığı tarih olan 1993 yılından 2021 yılı sonuna kadar en fazla ÇED kararı verilen sektör petrol ve madencilik sektörüdür. Bu yıllar arasında petrol ve madencilik sektörü, %29 “ÇED Olumlu”, %49 “ÇED Gerekli Değildir” kararı ile sanayi, atık-kimya, enerji ve tarım- gıda sektörlerini geride bırakmıştır. Bu durum, ÇED Yönetmeliği’nde madenciliğin geniş olarak yer alması ve aynı zamanda ülkemizde sektörün öneminin artmasından kaynaklanmaktadır. </w:t>
      </w:r>
    </w:p>
    <w:p w14:paraId="2F590250" w14:textId="77777777" w:rsidR="001803A6" w:rsidRPr="001C7732" w:rsidRDefault="001803A6" w:rsidP="001C7732">
      <w:pPr>
        <w:jc w:val="both"/>
        <w:rPr>
          <w:sz w:val="18"/>
          <w:szCs w:val="18"/>
        </w:rPr>
      </w:pPr>
    </w:p>
    <w:p w14:paraId="376C3D68" w14:textId="04BA8FA2" w:rsidR="001C7732" w:rsidRDefault="001C7732" w:rsidP="001C7732">
      <w:pPr>
        <w:jc w:val="both"/>
        <w:rPr>
          <w:sz w:val="18"/>
          <w:szCs w:val="18"/>
        </w:rPr>
      </w:pPr>
      <w:r w:rsidRPr="001C7732">
        <w:rPr>
          <w:sz w:val="18"/>
          <w:szCs w:val="18"/>
        </w:rPr>
        <w:t xml:space="preserve">ÇED Yönetmeliği’nde kapsamı belirlenen maden yatırım projelerine ait raporlar, Yönetmeliğin Ek-3 ve Ek-4 listelerinde bulunan genel formatlara göre hazırlanmaktadır. Yatırım projesi Ek-1 kapsamında yer alıyor ise, kurum/kuruluşların görüş ve önerileri ile halktan gelen görüş ve öneriler doğrultusunda, Çevre, Şehircilik ve İklim Değişikliği Bakanlığı’nca belirlenen ÇED raporu özel formatına göre tekrar düzenlenmektedir. </w:t>
      </w:r>
    </w:p>
    <w:p w14:paraId="0424E1CB" w14:textId="77777777" w:rsidR="001803A6" w:rsidRPr="001C7732" w:rsidRDefault="001803A6" w:rsidP="001C7732">
      <w:pPr>
        <w:jc w:val="both"/>
        <w:rPr>
          <w:sz w:val="18"/>
          <w:szCs w:val="18"/>
        </w:rPr>
      </w:pPr>
    </w:p>
    <w:p w14:paraId="4E7C8D61" w14:textId="15F6D51B" w:rsidR="001C7732" w:rsidRDefault="001C7732" w:rsidP="001C7732">
      <w:pPr>
        <w:jc w:val="both"/>
        <w:rPr>
          <w:sz w:val="18"/>
          <w:szCs w:val="18"/>
        </w:rPr>
      </w:pPr>
      <w:r w:rsidRPr="001C7732">
        <w:rPr>
          <w:sz w:val="18"/>
          <w:szCs w:val="18"/>
        </w:rPr>
        <w:t xml:space="preserve">ÇED Yönetmeliği hükümlerine göre düzenlenen bu nihai rapor kapsamında verilen “ÇED Kapsam Dışı”, “ÇED Olumlu” ya da “ÇED Gerekli Değildir” kararları maden faaliyetine başlanması için yeterli değildir. ÇED süreci, kurumların, yerel halkın ve projenin paydaşlarının içerisinde yer aldığı, projelerin kapsamlı olarak değerlendirildiği ve ilgili bu organizasyonların onayının alınmasının önem arz ettiği bir süreçtir. Özetle; yatırım yapan firmaların, mevzuatın gerektirdiği onaylarla beraber projeden etkilenecek çevrelerden sosyal onayları da alması gerekmektedir.  </w:t>
      </w:r>
    </w:p>
    <w:p w14:paraId="395A34AA" w14:textId="77777777" w:rsidR="001803A6" w:rsidRPr="001C7732" w:rsidRDefault="001803A6" w:rsidP="001C7732">
      <w:pPr>
        <w:jc w:val="both"/>
        <w:rPr>
          <w:sz w:val="18"/>
          <w:szCs w:val="18"/>
        </w:rPr>
      </w:pPr>
    </w:p>
    <w:p w14:paraId="1B48B0D6" w14:textId="54A33F04" w:rsidR="001C7732" w:rsidRDefault="001C7732" w:rsidP="001C7732">
      <w:pPr>
        <w:jc w:val="both"/>
        <w:rPr>
          <w:sz w:val="18"/>
          <w:szCs w:val="18"/>
        </w:rPr>
      </w:pPr>
      <w:r w:rsidRPr="001C7732">
        <w:rPr>
          <w:sz w:val="18"/>
          <w:szCs w:val="18"/>
        </w:rPr>
        <w:t>Günümüzde, madenciliğe karşı giderek artan tepki, yazılı görsel basın ve sosyal medya ile bu tepkilerin geniş kitlelere yayılması nedeniyle yerel halkla olan iletişim önem arz etmektedir. Maden firmalarının operasyon öncesi bölge halkı için yaratacağı değeri en iyi şekilde ifade etmesi, halk ile entegrasyonun sağlanarak bölge insanı için operasyon süreci ve sonrasında öngörülen programların anlatılması sektöre ve bölgede yaşayan halkın endişelerinin giderilmesine büyük fayda sağlayacaktır. ÇED Yönetmeliği’nde yer alan ve Halkın Katılımı Toplantısı olarak başlayan bu aşama sektöre katkısı dolayısıyla sürdürülebilir, etkin ve koordineli yürütülmesi gereken bir süreçtir.</w:t>
      </w:r>
    </w:p>
    <w:p w14:paraId="15B54D74" w14:textId="77777777" w:rsidR="001803A6" w:rsidRPr="001C7732" w:rsidRDefault="001803A6" w:rsidP="001C7732">
      <w:pPr>
        <w:jc w:val="both"/>
        <w:rPr>
          <w:sz w:val="18"/>
          <w:szCs w:val="18"/>
        </w:rPr>
      </w:pPr>
    </w:p>
    <w:p w14:paraId="4EB4B91D" w14:textId="67691C2D" w:rsidR="001C7732" w:rsidRDefault="001C7732" w:rsidP="001C7732">
      <w:pPr>
        <w:jc w:val="both"/>
        <w:rPr>
          <w:sz w:val="18"/>
          <w:szCs w:val="18"/>
        </w:rPr>
      </w:pPr>
      <w:r w:rsidRPr="001C7732">
        <w:rPr>
          <w:sz w:val="18"/>
          <w:szCs w:val="18"/>
        </w:rPr>
        <w:t>Çiftay AŞ Çevre Birimi, arama döneminden başlayarak tüm maden projelerimizin ÇED Yönetmeliği kapsamındaki süreçlerini koordine etmektedir. ÇED süreci, yatırımcı firma yetkililerinin Çevre, Şehircilik ve İklim Değişikliği Bakanlığı tarafından yetkilendirilmiş firmalarla beraber yürütmesi gereken hassas bir süreçtir. Çiftay AŞ Çevre Birimi, oluşturduğu sistem dâhilinde çalışmalarını büyük bir titizlik ve özveri ile yürütmektedir.</w:t>
      </w:r>
    </w:p>
    <w:p w14:paraId="466ADDAA" w14:textId="77777777" w:rsidR="001803A6" w:rsidRPr="001C7732" w:rsidRDefault="001803A6" w:rsidP="001C7732">
      <w:pPr>
        <w:jc w:val="both"/>
        <w:rPr>
          <w:sz w:val="18"/>
          <w:szCs w:val="18"/>
        </w:rPr>
      </w:pPr>
    </w:p>
    <w:p w14:paraId="062E704B" w14:textId="77777777" w:rsidR="001C7732" w:rsidRPr="001803A6" w:rsidRDefault="001C7732" w:rsidP="001C7732">
      <w:pPr>
        <w:jc w:val="both"/>
        <w:rPr>
          <w:b/>
          <w:bCs/>
          <w:sz w:val="18"/>
          <w:szCs w:val="18"/>
        </w:rPr>
      </w:pPr>
      <w:r w:rsidRPr="001803A6">
        <w:rPr>
          <w:b/>
          <w:bCs/>
          <w:sz w:val="18"/>
          <w:szCs w:val="18"/>
        </w:rPr>
        <w:t>Kaynaklar:</w:t>
      </w:r>
    </w:p>
    <w:p w14:paraId="3E96B028" w14:textId="77777777" w:rsidR="001C7732" w:rsidRPr="001803A6" w:rsidRDefault="001C7732" w:rsidP="001803A6">
      <w:pPr>
        <w:pStyle w:val="ListeParagraf"/>
        <w:numPr>
          <w:ilvl w:val="0"/>
          <w:numId w:val="1"/>
        </w:numPr>
        <w:jc w:val="both"/>
        <w:rPr>
          <w:sz w:val="18"/>
          <w:szCs w:val="18"/>
        </w:rPr>
      </w:pPr>
      <w:r w:rsidRPr="001803A6">
        <w:rPr>
          <w:sz w:val="18"/>
          <w:szCs w:val="18"/>
        </w:rPr>
        <w:t>R.G. 25.11.2014 tarih ve 29186 sayılı Çevresel Etki Değerlendirmesi Yönetmeliği</w:t>
      </w:r>
    </w:p>
    <w:p w14:paraId="35F0D03D" w14:textId="77777777" w:rsidR="001C7732" w:rsidRPr="001803A6" w:rsidRDefault="001C7732" w:rsidP="001803A6">
      <w:pPr>
        <w:pStyle w:val="ListeParagraf"/>
        <w:numPr>
          <w:ilvl w:val="0"/>
          <w:numId w:val="1"/>
        </w:numPr>
        <w:jc w:val="both"/>
        <w:rPr>
          <w:sz w:val="18"/>
          <w:szCs w:val="18"/>
        </w:rPr>
      </w:pPr>
      <w:r w:rsidRPr="001803A6">
        <w:rPr>
          <w:sz w:val="18"/>
          <w:szCs w:val="18"/>
        </w:rPr>
        <w:t>webdosya.csb.gov.tr/</w:t>
      </w:r>
    </w:p>
    <w:p w14:paraId="64BCADDD" w14:textId="7271889A" w:rsidR="001C7732" w:rsidRPr="001803A6" w:rsidRDefault="001C7732" w:rsidP="001803A6">
      <w:pPr>
        <w:pStyle w:val="ListeParagraf"/>
        <w:numPr>
          <w:ilvl w:val="0"/>
          <w:numId w:val="1"/>
        </w:numPr>
        <w:jc w:val="both"/>
        <w:rPr>
          <w:sz w:val="18"/>
          <w:szCs w:val="18"/>
        </w:rPr>
      </w:pPr>
      <w:r w:rsidRPr="001803A6">
        <w:rPr>
          <w:sz w:val="18"/>
          <w:szCs w:val="18"/>
        </w:rPr>
        <w:t>Türkiye Madencilik Sektörü Gelişim Raporu (2020)</w:t>
      </w:r>
    </w:p>
    <w:p w14:paraId="0FFCD301" w14:textId="77777777" w:rsidR="00345CB8" w:rsidRDefault="00345CB8" w:rsidP="00345CB8">
      <w:pPr>
        <w:rPr>
          <w:sz w:val="18"/>
          <w:szCs w:val="18"/>
        </w:rPr>
      </w:pPr>
    </w:p>
    <w:p w14:paraId="713782EF" w14:textId="77777777" w:rsidR="00345CB8" w:rsidRDefault="00345CB8" w:rsidP="00345CB8">
      <w:pPr>
        <w:rPr>
          <w:sz w:val="18"/>
          <w:szCs w:val="18"/>
        </w:rPr>
      </w:pPr>
    </w:p>
    <w:p w14:paraId="79A70627" w14:textId="77777777" w:rsidR="00345CB8" w:rsidRDefault="00345CB8" w:rsidP="00345CB8">
      <w:pPr>
        <w:rPr>
          <w:sz w:val="18"/>
          <w:szCs w:val="18"/>
        </w:rPr>
      </w:pPr>
      <w:r w:rsidRPr="00415A1B">
        <w:rPr>
          <w:sz w:val="18"/>
          <w:szCs w:val="18"/>
        </w:rPr>
        <w:t>Bu makalenin yer aldığı 10</w:t>
      </w:r>
      <w:r>
        <w:rPr>
          <w:sz w:val="18"/>
          <w:szCs w:val="18"/>
        </w:rPr>
        <w:t>2</w:t>
      </w:r>
      <w:r w:rsidRPr="00415A1B">
        <w:rPr>
          <w:sz w:val="18"/>
          <w:szCs w:val="18"/>
        </w:rPr>
        <w:t xml:space="preserve">. sayımıza buradan ulaşabilirsiniz: </w:t>
      </w:r>
      <w:hyperlink r:id="rId7" w:history="1">
        <w:r w:rsidRPr="005E6237">
          <w:rPr>
            <w:rStyle w:val="Kpr"/>
            <w:sz w:val="18"/>
            <w:szCs w:val="18"/>
          </w:rPr>
          <w:t>https://madencilikturkiye.com/wp-content/uploads/2018/09/Madencilik-Turkiye-Dergisi-Sayi-102-5666weef54s.pdf</w:t>
        </w:r>
      </w:hyperlink>
    </w:p>
    <w:p w14:paraId="17A405C6"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8A2A" w14:textId="77777777" w:rsidR="003B38A7" w:rsidRDefault="003B38A7" w:rsidP="001C7732">
      <w:r>
        <w:separator/>
      </w:r>
    </w:p>
  </w:endnote>
  <w:endnote w:type="continuationSeparator" w:id="0">
    <w:p w14:paraId="0A3EB802" w14:textId="77777777" w:rsidR="003B38A7" w:rsidRDefault="003B38A7" w:rsidP="001C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6BB7" w14:textId="77777777" w:rsidR="003B38A7" w:rsidRDefault="003B38A7" w:rsidP="001C7732">
      <w:r>
        <w:separator/>
      </w:r>
    </w:p>
  </w:footnote>
  <w:footnote w:type="continuationSeparator" w:id="0">
    <w:p w14:paraId="57569CF5" w14:textId="77777777" w:rsidR="003B38A7" w:rsidRDefault="003B38A7" w:rsidP="001C7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7E0A"/>
    <w:multiLevelType w:val="hybridMultilevel"/>
    <w:tmpl w:val="4D6EE0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431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B8"/>
    <w:rsid w:val="001803A6"/>
    <w:rsid w:val="001C7732"/>
    <w:rsid w:val="00345CB8"/>
    <w:rsid w:val="003B38A7"/>
    <w:rsid w:val="003B665A"/>
    <w:rsid w:val="009129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7973"/>
  <w15:chartTrackingRefBased/>
  <w15:docId w15:val="{85774D27-D709-DD40-A522-80193C47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B8"/>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45CB8"/>
    <w:rPr>
      <w:color w:val="0563C1" w:themeColor="hyperlink"/>
      <w:u w:val="single"/>
    </w:rPr>
  </w:style>
  <w:style w:type="paragraph" w:styleId="stBilgi">
    <w:name w:val="header"/>
    <w:basedOn w:val="Normal"/>
    <w:link w:val="stBilgiChar"/>
    <w:uiPriority w:val="99"/>
    <w:unhideWhenUsed/>
    <w:rsid w:val="001C7732"/>
    <w:pPr>
      <w:tabs>
        <w:tab w:val="center" w:pos="4536"/>
        <w:tab w:val="right" w:pos="9072"/>
      </w:tabs>
    </w:pPr>
  </w:style>
  <w:style w:type="character" w:customStyle="1" w:styleId="stBilgiChar">
    <w:name w:val="Üst Bilgi Char"/>
    <w:basedOn w:val="VarsaylanParagrafYazTipi"/>
    <w:link w:val="stBilgi"/>
    <w:uiPriority w:val="99"/>
    <w:rsid w:val="001C7732"/>
    <w:rPr>
      <w:noProof/>
    </w:rPr>
  </w:style>
  <w:style w:type="paragraph" w:styleId="AltBilgi">
    <w:name w:val="footer"/>
    <w:basedOn w:val="Normal"/>
    <w:link w:val="AltBilgiChar"/>
    <w:uiPriority w:val="99"/>
    <w:unhideWhenUsed/>
    <w:rsid w:val="001C7732"/>
    <w:pPr>
      <w:tabs>
        <w:tab w:val="center" w:pos="4536"/>
        <w:tab w:val="right" w:pos="9072"/>
      </w:tabs>
    </w:pPr>
  </w:style>
  <w:style w:type="character" w:customStyle="1" w:styleId="AltBilgiChar">
    <w:name w:val="Alt Bilgi Char"/>
    <w:basedOn w:val="VarsaylanParagrafYazTipi"/>
    <w:link w:val="AltBilgi"/>
    <w:uiPriority w:val="99"/>
    <w:rsid w:val="001C7732"/>
    <w:rPr>
      <w:noProof/>
    </w:rPr>
  </w:style>
  <w:style w:type="paragraph" w:customStyle="1" w:styleId="GenelMEtinGENEL">
    <w:name w:val="Genel MEtin (GENEL)"/>
    <w:basedOn w:val="Normal"/>
    <w:next w:val="Normal"/>
    <w:uiPriority w:val="99"/>
    <w:rsid w:val="001803A6"/>
    <w:pPr>
      <w:autoSpaceDE w:val="0"/>
      <w:autoSpaceDN w:val="0"/>
      <w:adjustRightInd w:val="0"/>
      <w:spacing w:after="241" w:line="200" w:lineRule="atLeast"/>
      <w:jc w:val="both"/>
      <w:textAlignment w:val="center"/>
    </w:pPr>
    <w:rPr>
      <w:rFonts w:ascii="Myriad Pro" w:hAnsi="Myriad Pro" w:cs="Myriad Pro"/>
      <w:noProof w:val="0"/>
      <w:color w:val="000000"/>
      <w:sz w:val="18"/>
      <w:szCs w:val="18"/>
    </w:rPr>
  </w:style>
  <w:style w:type="paragraph" w:styleId="ListeParagraf">
    <w:name w:val="List Paragraph"/>
    <w:basedOn w:val="Normal"/>
    <w:uiPriority w:val="34"/>
    <w:qFormat/>
    <w:rsid w:val="00180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dencilikturkiye.com/wp-content/uploads/2018/09/Madencilik-Turkiye-Dergisi-Sayi-102-5666weef54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729</Words>
  <Characters>4160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2022-05-11T08:44:00Z</dcterms:created>
  <dcterms:modified xsi:type="dcterms:W3CDTF">2022-05-11T09:07:00Z</dcterms:modified>
</cp:coreProperties>
</file>