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A8903" w14:textId="18577C80" w:rsidR="0096658A" w:rsidRPr="0006783F" w:rsidRDefault="0006783F" w:rsidP="0096658A">
      <w:pPr>
        <w:rPr>
          <w:rFonts w:cstheme="minorHAnsi"/>
          <w:b/>
          <w:bCs/>
          <w:sz w:val="18"/>
          <w:szCs w:val="18"/>
        </w:rPr>
      </w:pPr>
      <w:r w:rsidRPr="0006783F">
        <w:rPr>
          <w:rFonts w:cstheme="minorHAnsi"/>
          <w:b/>
          <w:bCs/>
          <w:sz w:val="18"/>
          <w:szCs w:val="18"/>
        </w:rPr>
        <w:t>Cari Denge ve Maden İhracatı</w:t>
      </w:r>
    </w:p>
    <w:p w14:paraId="3F16E712" w14:textId="1CD4821B" w:rsidR="0096658A" w:rsidRDefault="0096658A" w:rsidP="0096658A">
      <w:pPr>
        <w:rPr>
          <w:rFonts w:cstheme="minorHAnsi"/>
          <w:sz w:val="18"/>
          <w:szCs w:val="18"/>
        </w:rPr>
      </w:pPr>
    </w:p>
    <w:p w14:paraId="2C4A077F" w14:textId="77777777" w:rsidR="0006783F" w:rsidRPr="0006783F" w:rsidRDefault="0006783F" w:rsidP="0006783F">
      <w:pPr>
        <w:rPr>
          <w:rFonts w:cstheme="minorHAnsi"/>
          <w:sz w:val="18"/>
          <w:szCs w:val="18"/>
        </w:rPr>
      </w:pPr>
      <w:r w:rsidRPr="0006783F">
        <w:rPr>
          <w:rFonts w:cstheme="minorHAnsi"/>
          <w:sz w:val="18"/>
          <w:szCs w:val="18"/>
        </w:rPr>
        <w:t xml:space="preserve">Dr. M. Mustafa Kahraman </w:t>
      </w:r>
    </w:p>
    <w:p w14:paraId="2F0E5C58" w14:textId="77777777" w:rsidR="0006783F" w:rsidRPr="0006783F" w:rsidRDefault="0006783F" w:rsidP="0006783F">
      <w:pPr>
        <w:rPr>
          <w:rFonts w:cstheme="minorHAnsi"/>
          <w:sz w:val="18"/>
          <w:szCs w:val="18"/>
        </w:rPr>
      </w:pPr>
      <w:r w:rsidRPr="0006783F">
        <w:rPr>
          <w:rFonts w:cstheme="minorHAnsi"/>
          <w:sz w:val="18"/>
          <w:szCs w:val="18"/>
        </w:rPr>
        <w:t>Maden Mühendisi</w:t>
      </w:r>
    </w:p>
    <w:p w14:paraId="1F900F2A" w14:textId="4271C2FB" w:rsidR="0006783F" w:rsidRDefault="0006783F" w:rsidP="0006783F">
      <w:pPr>
        <w:rPr>
          <w:rFonts w:cstheme="minorHAnsi"/>
          <w:sz w:val="18"/>
          <w:szCs w:val="18"/>
        </w:rPr>
      </w:pPr>
      <w:hyperlink r:id="rId4" w:history="1">
        <w:r w:rsidRPr="00BD373A">
          <w:rPr>
            <w:rStyle w:val="Kpr"/>
            <w:rFonts w:cstheme="minorHAnsi"/>
            <w:sz w:val="18"/>
            <w:szCs w:val="18"/>
          </w:rPr>
          <w:t>www.mmkahraman.com</w:t>
        </w:r>
      </w:hyperlink>
    </w:p>
    <w:p w14:paraId="34791F78" w14:textId="77777777" w:rsidR="0006783F" w:rsidRDefault="0006783F" w:rsidP="0006783F">
      <w:pPr>
        <w:rPr>
          <w:rFonts w:cstheme="minorHAnsi"/>
          <w:sz w:val="18"/>
          <w:szCs w:val="18"/>
        </w:rPr>
      </w:pPr>
    </w:p>
    <w:p w14:paraId="116EACE7" w14:textId="2151EDF4" w:rsidR="0006783F" w:rsidRDefault="0006783F" w:rsidP="0006783F">
      <w:pPr>
        <w:jc w:val="both"/>
        <w:rPr>
          <w:rFonts w:cstheme="minorHAnsi"/>
          <w:sz w:val="18"/>
          <w:szCs w:val="18"/>
        </w:rPr>
      </w:pPr>
      <w:r w:rsidRPr="0006783F">
        <w:rPr>
          <w:rFonts w:cstheme="minorHAnsi"/>
          <w:sz w:val="18"/>
          <w:szCs w:val="18"/>
        </w:rPr>
        <w:t>Pandemi süreci, dünyada neredeyse son 1,5 yıldır sürmekte. Bu süreç ülkelerin, toplumların, kurumların ve sağlık sektörünün değişime ve inovasyona ne kadar hazır olduğunu ilk elden test etmiş oldu. Geleneksel yaklaşımların ve kısa vadeli çözüm arayışlarının pek başarılı olamadığı bir döneme şahit olmaktayız. Bu sebeple süreç içerisinde ülkeler ve toplumlar alınan önlemleri sıklıkla değiştirmek durumunda kaldılar. Özellikle bilimsel anlamda pandemi sürecinin yönetilmesi ve virüsle ilgili dünyanın en üst düzey kurumları arasında bile bir karmaşanın varlığından bahsetmek mümkün. Teknolojik ve bilimsel olarak en kalkınmış kabul edilen ülkeler bile sürecin yönetiminde örnek olmak bir tarafa; neredeyse çuvalladılar demek en hafif tabir olacaktır. Neyseki sahip oldukları kaliteli sağlık kurumları ve bilim insanlarına sağladıkları büyük bütçeli aşı programları sonuç vermiş görünüyor. Aşıya karşı etkili hali hazırda ona yakın aşı var ve bu aşılar dünyada gelir seviyesine göre dağıtılıp uygulanmaya halen devam ediliyor. Henüz hiç aşılama yapamamış ülkelere karşın, üniversite öğrencilerini bile aşılamış ülkeler mevcut.</w:t>
      </w:r>
    </w:p>
    <w:p w14:paraId="5F226A27" w14:textId="77777777" w:rsidR="0006783F" w:rsidRPr="0006783F" w:rsidRDefault="0006783F" w:rsidP="0006783F">
      <w:pPr>
        <w:jc w:val="both"/>
        <w:rPr>
          <w:rFonts w:cstheme="minorHAnsi"/>
          <w:sz w:val="18"/>
          <w:szCs w:val="18"/>
        </w:rPr>
      </w:pPr>
    </w:p>
    <w:p w14:paraId="5DEBC1B4" w14:textId="464F4311" w:rsidR="0006783F" w:rsidRDefault="0006783F" w:rsidP="0006783F">
      <w:pPr>
        <w:jc w:val="both"/>
        <w:rPr>
          <w:rFonts w:cstheme="minorHAnsi"/>
          <w:sz w:val="18"/>
          <w:szCs w:val="18"/>
        </w:rPr>
      </w:pPr>
      <w:r w:rsidRPr="0006783F">
        <w:rPr>
          <w:rFonts w:cstheme="minorHAnsi"/>
          <w:sz w:val="18"/>
          <w:szCs w:val="18"/>
        </w:rPr>
        <w:t>Benzer bir terslik ekonomi alanında da mevcut. Pandemi süreciyle bazı sektörler ve teknoloji girişimleri ve yatırımları kazançlarını ve şirket değerlerini katlarken, diğer bazı konvansiyonel sektörler ve şirketler ise ciddi zararlar ettiler ve batma noktasına geldiler. Bu sebeple serbest piyasa ekonomisi uygulamasının -2008 yılında olduğu gibi- dışına çıkılarak stratejik öneme sahip bazı firmaların devlet tarafından sübvanse edildiğini gördük. Serbest piyasanın merkez bankaları üzerindeki baskısı bu süreci tarihte görülmemiş bir parasal genişlemeye sürükledi. Son bir yılda tedavüle giren ABD Doları, Euro, Japon Yeni ve Çin Yuanı tarihteki toplam basılan miktardan daha fazla. Bu durum göreceli olarak başarı sağlamış olsa da piyasa deyimiyle balonlar oluşturmuş durumda. Borsaları bir tarafa bırakacak olursak, örneğin kripto para piyasasının değeri kısa bir süre içerisinde 2 trilyon doları aştı. Bu yazının yazıldığı tarihte bu değerin %25 altına düşülmüş olsa da küresel ölçekte bir enflasyon oluşturulduğu gerçeğini değiştirmiyor.</w:t>
      </w:r>
    </w:p>
    <w:p w14:paraId="69CCC867" w14:textId="77777777" w:rsidR="0006783F" w:rsidRPr="0006783F" w:rsidRDefault="0006783F" w:rsidP="0006783F">
      <w:pPr>
        <w:jc w:val="both"/>
        <w:rPr>
          <w:rFonts w:cstheme="minorHAnsi"/>
          <w:sz w:val="18"/>
          <w:szCs w:val="18"/>
        </w:rPr>
      </w:pPr>
    </w:p>
    <w:p w14:paraId="3873018A" w14:textId="70310077" w:rsidR="0006783F" w:rsidRDefault="0006783F" w:rsidP="0006783F">
      <w:pPr>
        <w:jc w:val="both"/>
        <w:rPr>
          <w:rFonts w:cstheme="minorHAnsi"/>
          <w:sz w:val="18"/>
          <w:szCs w:val="18"/>
        </w:rPr>
      </w:pPr>
      <w:r w:rsidRPr="0006783F">
        <w:rPr>
          <w:rFonts w:cstheme="minorHAnsi"/>
          <w:sz w:val="18"/>
          <w:szCs w:val="18"/>
        </w:rPr>
        <w:t xml:space="preserve">Son bir yıl içerisinde küresel ölçekte alüminyum %60, bakır %90, demir %110, kalay %90, çinko %50, gümüş %70, doğal gaz %50, petrol %200 ve kömür %60 fiyat artışı yaşadı. Emtia fiyatları ortalama %70 civarı bir yükseliş yaşamış durumda. Maden firmaları açısından bu sebeplerle 2020 yılı olumlu geçmiş olsa da yeni dönemde enflasyonist baskı ve fiyatlardaki muhtemel volatilite bir çok sektör gibi metal ve maden sektörünü de etkileyecektir. Piyasalarda fiyatların bir döngü içerisinde olduğundan yola çıkarsak, bu tür karlılığın arttığı dönemleri kurumların verimlilik artışı ve alt yapıya yönelik iyileştirmeler amacıyla kullanmaları doğru bir karar olacaktır. 2008 krizi sonrasında metal ve enerji hammadde fiyatlarındaki hızlı yükseliş sonucunda birçok küresel firma inorganik büyüme ve piyasa payını arttırma amacıyla satın alımlara başlamıştı. Ancak fiyatların stabil olmaması sonucunda bu büyük satın alımların fiyaskoyla sonuçlandığını ve birçok metal/enerji firmasının battığını veya kurtarılmak zorunda kaldığını görmüştük. </w:t>
      </w:r>
    </w:p>
    <w:p w14:paraId="22EBC866" w14:textId="77777777" w:rsidR="0006783F" w:rsidRPr="0006783F" w:rsidRDefault="0006783F" w:rsidP="0006783F">
      <w:pPr>
        <w:jc w:val="both"/>
        <w:rPr>
          <w:rFonts w:cstheme="minorHAnsi"/>
          <w:sz w:val="18"/>
          <w:szCs w:val="18"/>
        </w:rPr>
      </w:pPr>
    </w:p>
    <w:p w14:paraId="2F0EDB3C" w14:textId="4A73AB93" w:rsidR="0006783F" w:rsidRDefault="0006783F" w:rsidP="0006783F">
      <w:pPr>
        <w:jc w:val="both"/>
        <w:rPr>
          <w:rFonts w:cstheme="minorHAnsi"/>
          <w:sz w:val="18"/>
          <w:szCs w:val="18"/>
        </w:rPr>
      </w:pPr>
      <w:r w:rsidRPr="0006783F">
        <w:rPr>
          <w:rFonts w:cstheme="minorHAnsi"/>
          <w:sz w:val="18"/>
          <w:szCs w:val="18"/>
        </w:rPr>
        <w:t xml:space="preserve">Maalesef görebildiğim kadarıyla ülkemizin maden/metal sektörü küresel rekabete ucuz iş gücü, yüksek tenör ve devlet teşvikleri gibi gelişmekte olan ülkelerdeki avantajlarla katılabiliyor. Ancak buna rağmen alt yapı yetersizliği sebebiyle üretilen değerler yarı zenginleştirilmiş halde ihraç ediliyor. Nihai veya uç ürün konusunda (izabe, rafineri vs.) gibi çok daha büyük tesislerin eksikliği aslında üretilen değerlerin belli bir noktada işlenip tekrar ithal edilmesiyle bile sonuçlanabiliyor. Kurumsal firmaların ve devletin bu alanda orta ve uzun vadeli plan yapması ve uç ürün üretimi konusunu gündemlerine alması yerinde olacaktır. Benzer bir girişim geçtiğimiz yıllarda bor alanında yapılmıştı ve neticesinde dünyadan alınan payın oranı hatırı sayılır bir oranda arttırılmıştı. </w:t>
      </w:r>
    </w:p>
    <w:p w14:paraId="5289FAEC" w14:textId="77777777" w:rsidR="0006783F" w:rsidRPr="0006783F" w:rsidRDefault="0006783F" w:rsidP="0006783F">
      <w:pPr>
        <w:jc w:val="both"/>
        <w:rPr>
          <w:rFonts w:cstheme="minorHAnsi"/>
          <w:sz w:val="18"/>
          <w:szCs w:val="18"/>
        </w:rPr>
      </w:pPr>
    </w:p>
    <w:p w14:paraId="67FD46F0" w14:textId="126C0561" w:rsidR="0006783F" w:rsidRDefault="0006783F" w:rsidP="0006783F">
      <w:pPr>
        <w:jc w:val="both"/>
        <w:rPr>
          <w:rFonts w:cstheme="minorHAnsi"/>
          <w:sz w:val="18"/>
          <w:szCs w:val="18"/>
        </w:rPr>
      </w:pPr>
      <w:r w:rsidRPr="0006783F">
        <w:rPr>
          <w:rFonts w:cstheme="minorHAnsi"/>
          <w:sz w:val="18"/>
          <w:szCs w:val="18"/>
        </w:rPr>
        <w:t>Bir diğer nokta ise kur kaynaklı yukarı oynaklığın ihracatçılar için oldukça olumlu olmasına karşın, diğer taraftan artan üretim zincirindeki verimsizlikler. Türkiye’deki metal/maden üreten firmalarının maliyetlerinin ve iş gücünün küresel ölçeğe göre ucuz olması sebebiyle ciddi bir verimlilik ve teknoloji kullanımının olmaması bir diğer handikap. Bu noktada aslında kısa sürede verimlilik ve kalite noktalarında önemli kazanımların elde edilmesi oldukça mümkün. Ancak sektörün yeniliklere, değişime ve gelişime açık olması, buna yönelik kurum içinde bir grup (Sürekli Gelişim, Operasyonel Mükemmellik vs.) oluşturması yerinde olacaktır. Verimlilik sadece kurumların bireysel yaklaşımıyla değil, aynı zamanda devlet birimlerinin ve sivil toplum kuruluşlarının da bu noktada destek sağlaması başarı şansını arttıracaktır. Akademinin de bu konuda üzerine düşen en kritik noktalardan biri sektöre nitelikli çalışanlar kazandırabilmek için öğrenim planlarının ve çıktılarının güncellenmesi; bunun öncesinde ise akademisyenlerin de kendilerini güncellemeleri ve sektörel uygulamalara yönelik çalışmalara öncelik vermeleri olacaktır.</w:t>
      </w:r>
    </w:p>
    <w:p w14:paraId="55172551" w14:textId="77777777" w:rsidR="0006783F" w:rsidRPr="0006783F" w:rsidRDefault="0006783F" w:rsidP="0006783F">
      <w:pPr>
        <w:jc w:val="both"/>
        <w:rPr>
          <w:rFonts w:cstheme="minorHAnsi"/>
          <w:sz w:val="18"/>
          <w:szCs w:val="18"/>
        </w:rPr>
      </w:pPr>
    </w:p>
    <w:p w14:paraId="6CAB731B" w14:textId="7A976397" w:rsidR="0096658A" w:rsidRDefault="0006783F" w:rsidP="0006783F">
      <w:pPr>
        <w:jc w:val="both"/>
        <w:rPr>
          <w:rFonts w:cstheme="minorHAnsi"/>
          <w:sz w:val="18"/>
          <w:szCs w:val="18"/>
        </w:rPr>
      </w:pPr>
      <w:r w:rsidRPr="0006783F">
        <w:rPr>
          <w:rFonts w:cstheme="minorHAnsi"/>
          <w:sz w:val="18"/>
          <w:szCs w:val="18"/>
        </w:rPr>
        <w:t xml:space="preserve">Türkiye’nin ekonomik anlamda en büyük sıkıntılarından biri olan cari açık konusunda ithalat ve ihracat arasında bir dengenin sağlanması oldukça önem kazanmış durumda. Pandemi sebebiyle etkisini yitiren turizm sektörü, ülkenin özellikle enerjiden kaynaklı cari açığının dengelenmesinde yıllardır hatırı sayılır bir paya sahipti. Ancak içinde bulunduğumuz süreç gösterdi ki bu ve benzeri hizmet sektörleri dış etkenlere oldukça duyarlı. Benzer şekilde pandemi değilde bir güvenlik sıkıntısı da (2015, 2016) geçmiş yıllarda turizm sektörünü ciddi şekilde negatif etkiledi. Kısa ve orta vadede ülkenin ekonomik refahı için üretim içeren sanayi, madencilik, kimya, tarım ve tekstil sektörlerinin daha fazla ön plana çıkması gerekiyor. 2021 yılı, son 3 yılın en iyi ihracat rakamlarına sahip ilk 4 ayı geride bıraktı. Özellikle Mart Nisan ayları ucuz TL sebebiyle aylık 17 milyar ABD doları </w:t>
      </w:r>
      <w:r w:rsidRPr="0006783F">
        <w:rPr>
          <w:rFonts w:cstheme="minorHAnsi"/>
          <w:sz w:val="18"/>
          <w:szCs w:val="18"/>
        </w:rPr>
        <w:lastRenderedPageBreak/>
        <w:t>barajını aştı. Bu rakamların artmasında şüphesiz her sektörün payı olsa da toplam 2019’dan 2021’e %31’lik bir artış payına sahip maden sektörünün önemi yabana atılamaz. Bu kısa süre içerisinde ihracattan madencilik ürünlerinin aldığı pay %2,5’tan %3’lere çıktı. Bu istikrarın sürdürülebilmesi ve ivmenin korunabilmesi için verimlilik ve nihai ürün üretim ve ihracı önem arz eden iki konu. İlerleyen yazılarda bu konulara tekrar değineceğim.</w:t>
      </w:r>
    </w:p>
    <w:p w14:paraId="086BBD49" w14:textId="77777777" w:rsidR="0096658A" w:rsidRDefault="0096658A" w:rsidP="0096658A">
      <w:pPr>
        <w:rPr>
          <w:rFonts w:cstheme="minorHAnsi"/>
          <w:sz w:val="18"/>
          <w:szCs w:val="18"/>
        </w:rPr>
      </w:pPr>
    </w:p>
    <w:p w14:paraId="28495158" w14:textId="77777777" w:rsidR="0096658A" w:rsidRDefault="0096658A" w:rsidP="0096658A">
      <w:pPr>
        <w:rPr>
          <w:rFonts w:cstheme="minorHAnsi"/>
          <w:sz w:val="18"/>
          <w:szCs w:val="18"/>
        </w:rPr>
      </w:pPr>
    </w:p>
    <w:p w14:paraId="1FC25CCF" w14:textId="77777777" w:rsidR="0096658A" w:rsidRDefault="0096658A" w:rsidP="0096658A">
      <w:pPr>
        <w:rPr>
          <w:rFonts w:cstheme="minorHAnsi"/>
          <w:sz w:val="18"/>
          <w:szCs w:val="18"/>
        </w:rPr>
      </w:pPr>
      <w:r w:rsidRPr="00776C51">
        <w:rPr>
          <w:rFonts w:cstheme="minorHAnsi"/>
          <w:sz w:val="18"/>
          <w:szCs w:val="18"/>
        </w:rPr>
        <w:t>Bu makalenin yer aldığı 9</w:t>
      </w:r>
      <w:r>
        <w:rPr>
          <w:rFonts w:cstheme="minorHAnsi"/>
          <w:sz w:val="18"/>
          <w:szCs w:val="18"/>
        </w:rPr>
        <w:t>5</w:t>
      </w:r>
      <w:r w:rsidRPr="00776C51">
        <w:rPr>
          <w:rFonts w:cstheme="minorHAnsi"/>
          <w:sz w:val="18"/>
          <w:szCs w:val="18"/>
        </w:rPr>
        <w:t>. sayımıza buradan ulaşabilirsiniz:</w:t>
      </w:r>
    </w:p>
    <w:p w14:paraId="7E6F41BE" w14:textId="77777777" w:rsidR="0096658A" w:rsidRDefault="0096658A" w:rsidP="0096658A">
      <w:pPr>
        <w:rPr>
          <w:rFonts w:cstheme="minorHAnsi"/>
          <w:sz w:val="18"/>
          <w:szCs w:val="18"/>
        </w:rPr>
      </w:pPr>
      <w:r w:rsidRPr="00EA3250">
        <w:rPr>
          <w:rFonts w:cstheme="minorHAnsi"/>
          <w:sz w:val="18"/>
          <w:szCs w:val="18"/>
        </w:rPr>
        <w:t>https://madencilikturkiye.com/wp-content/uploads/2018/09/Madencilik-Turkiye-Dergisi-Sayi-95-nsdu723eg2.pdf</w:t>
      </w:r>
    </w:p>
    <w:p w14:paraId="0641D3A1"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6658A"/>
    <w:rsid w:val="0006783F"/>
    <w:rsid w:val="003B665A"/>
    <w:rsid w:val="0091297F"/>
    <w:rsid w:val="0096658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5DD30D7B"/>
  <w15:docId w15:val="{A25D0C29-6E0A-8942-9123-DFF44A73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58A"/>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6783F"/>
    <w:rPr>
      <w:color w:val="0563C1" w:themeColor="hyperlink"/>
      <w:u w:val="single"/>
    </w:rPr>
  </w:style>
  <w:style w:type="character" w:styleId="zmlenmeyenBahsetme">
    <w:name w:val="Unresolved Mention"/>
    <w:basedOn w:val="VarsaylanParagrafYazTipi"/>
    <w:uiPriority w:val="99"/>
    <w:semiHidden/>
    <w:unhideWhenUsed/>
    <w:rsid w:val="00067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mkahrama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1008</Words>
  <Characters>5746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2022-03-09T13:58:00Z</dcterms:created>
  <dcterms:modified xsi:type="dcterms:W3CDTF">2022-03-10T13:21:00Z</dcterms:modified>
</cp:coreProperties>
</file>