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9A80" w14:textId="2F611658" w:rsidR="00497CB0" w:rsidRPr="00F43127" w:rsidRDefault="00F43127" w:rsidP="00497CB0">
      <w:pPr>
        <w:rPr>
          <w:rFonts w:cstheme="minorHAnsi"/>
          <w:b/>
          <w:bCs/>
          <w:sz w:val="18"/>
          <w:szCs w:val="18"/>
        </w:rPr>
      </w:pPr>
      <w:r w:rsidRPr="00F43127">
        <w:rPr>
          <w:rFonts w:cstheme="minorHAnsi"/>
          <w:b/>
          <w:bCs/>
          <w:sz w:val="18"/>
          <w:szCs w:val="18"/>
        </w:rPr>
        <w:t>Maden Sektöründe İstihdam</w:t>
      </w:r>
    </w:p>
    <w:p w14:paraId="5C3B0461" w14:textId="77777777" w:rsidR="00497CB0" w:rsidRDefault="00497CB0" w:rsidP="00497CB0">
      <w:pPr>
        <w:rPr>
          <w:rFonts w:cstheme="minorHAnsi"/>
          <w:sz w:val="18"/>
          <w:szCs w:val="18"/>
        </w:rPr>
      </w:pPr>
    </w:p>
    <w:p w14:paraId="7BB0B75F" w14:textId="77777777" w:rsidR="00F43127" w:rsidRPr="00F43127" w:rsidRDefault="00F43127" w:rsidP="00F43127">
      <w:pPr>
        <w:rPr>
          <w:rFonts w:cstheme="minorHAnsi"/>
          <w:sz w:val="18"/>
          <w:szCs w:val="18"/>
        </w:rPr>
      </w:pPr>
      <w:r w:rsidRPr="00F43127">
        <w:rPr>
          <w:rFonts w:cstheme="minorHAnsi"/>
          <w:sz w:val="18"/>
          <w:szCs w:val="18"/>
        </w:rPr>
        <w:t>Aslıhan Atay</w:t>
      </w:r>
    </w:p>
    <w:p w14:paraId="4577AF52" w14:textId="77777777" w:rsidR="00F43127" w:rsidRPr="00F43127" w:rsidRDefault="00F43127" w:rsidP="00F43127">
      <w:pPr>
        <w:rPr>
          <w:rFonts w:cstheme="minorHAnsi"/>
          <w:sz w:val="18"/>
          <w:szCs w:val="18"/>
        </w:rPr>
      </w:pPr>
      <w:r w:rsidRPr="00F43127">
        <w:rPr>
          <w:rFonts w:cstheme="minorHAnsi"/>
          <w:sz w:val="18"/>
          <w:szCs w:val="18"/>
        </w:rPr>
        <w:t>Mitto Danışmanlık</w:t>
      </w:r>
    </w:p>
    <w:p w14:paraId="588099B8" w14:textId="1B8DC7B7" w:rsidR="00F43127" w:rsidRDefault="00F43127" w:rsidP="00F43127">
      <w:pPr>
        <w:jc w:val="both"/>
        <w:rPr>
          <w:rFonts w:cstheme="minorHAnsi"/>
          <w:sz w:val="18"/>
          <w:szCs w:val="18"/>
        </w:rPr>
      </w:pPr>
      <w:r w:rsidRPr="00F43127">
        <w:rPr>
          <w:rFonts w:cstheme="minorHAnsi"/>
          <w:sz w:val="18"/>
          <w:szCs w:val="18"/>
        </w:rPr>
        <w:t>İnsan Kaynakları Yöneticisi</w:t>
      </w:r>
    </w:p>
    <w:p w14:paraId="12493485" w14:textId="77777777" w:rsidR="00F43127" w:rsidRDefault="00F43127" w:rsidP="00F43127">
      <w:pPr>
        <w:jc w:val="both"/>
        <w:rPr>
          <w:rFonts w:cstheme="minorHAnsi"/>
          <w:sz w:val="18"/>
          <w:szCs w:val="18"/>
        </w:rPr>
      </w:pPr>
    </w:p>
    <w:p w14:paraId="183B7FF0" w14:textId="58961FA7" w:rsidR="00F43127" w:rsidRDefault="00F43127" w:rsidP="00F43127">
      <w:pPr>
        <w:jc w:val="both"/>
        <w:rPr>
          <w:rFonts w:cstheme="minorHAnsi"/>
          <w:sz w:val="18"/>
          <w:szCs w:val="18"/>
        </w:rPr>
      </w:pPr>
      <w:r w:rsidRPr="00F43127">
        <w:rPr>
          <w:rFonts w:cstheme="minorHAnsi"/>
          <w:sz w:val="18"/>
          <w:szCs w:val="18"/>
        </w:rPr>
        <w:t>Büyük ölçekli maden üretimi, birçok ülkenin ekonomik ve toplumsal kalkınmasında önemli bir rol oynamaktadır. Madencilik, işsizlik ve yoksulluğun yüksek olduğu kırsal bölgelerde gerek doğrudan gerekse söz konusu faaliyetin yarattığı yan ekonomik faaliyetler sonucu binlerce kişiye istihdam olanağı sağlamaktadır. İstihdam ile yaratılan gelir, kırsalda üretilen mal ve hizmetlerin tüketilmesi bakımından da yaşamsaldır. Ayrıca, kırsal bölgelerde ulaşım, su, eğitim ve iletişim gibi ekonomik ve sosyal altyapının sağlanmasına yönelik önemli katkısı da bulunmaktadır.</w:t>
      </w:r>
    </w:p>
    <w:p w14:paraId="15B0AE5F" w14:textId="77777777" w:rsidR="00F43127" w:rsidRPr="00F43127" w:rsidRDefault="00F43127" w:rsidP="00F43127">
      <w:pPr>
        <w:jc w:val="both"/>
        <w:rPr>
          <w:rFonts w:cstheme="minorHAnsi"/>
          <w:sz w:val="18"/>
          <w:szCs w:val="18"/>
        </w:rPr>
      </w:pPr>
    </w:p>
    <w:p w14:paraId="3DA7D801" w14:textId="361E235E" w:rsidR="00F43127" w:rsidRDefault="00F43127" w:rsidP="00F43127">
      <w:pPr>
        <w:jc w:val="both"/>
        <w:rPr>
          <w:rFonts w:cstheme="minorHAnsi"/>
          <w:sz w:val="18"/>
          <w:szCs w:val="18"/>
        </w:rPr>
      </w:pPr>
      <w:r w:rsidRPr="00F43127">
        <w:rPr>
          <w:rFonts w:cstheme="minorHAnsi"/>
          <w:sz w:val="18"/>
          <w:szCs w:val="18"/>
        </w:rPr>
        <w:t xml:space="preserve">Madencilik katma değer yaratan emek yoğun bir sektördür. Bilimsel çalışmalara göre 1 maden işçisi yanında 12 kişiyi daha istihdam etmektedir. Yani madende çalışan her kişi dolaylı olarak 12 kişiye daha iş imkânı yaratmaktadır. Hem istihdam boyutuyla hem de arz güvenliği boyutuyla yerli kaynaklara yönelinmesi gerekmektedir. Aynı zamanda madencilik emek yoğun bir sektör olup 2020 yılı sonu itibarıyla sektörde 9.836 işletme izinli maden sahasında ve atölyeler, işletmeler, mevsimlik işçiler, yan sanayisi dahil, 2.000.000 dolayında iş gücü bulunmaktadır. İstihdam yaratmada öncelikli sektör olan madencilik sektörünün önü açıldığı takdirde ve yeni üretim alanları devreye alındığı takdirde bu iş gücünün hızla artacağı tahmin edilmektedir. </w:t>
      </w:r>
    </w:p>
    <w:p w14:paraId="3D3F911C" w14:textId="77777777" w:rsidR="00F43127" w:rsidRPr="00F43127" w:rsidRDefault="00F43127" w:rsidP="00F43127">
      <w:pPr>
        <w:jc w:val="both"/>
        <w:rPr>
          <w:rFonts w:cstheme="minorHAnsi"/>
          <w:sz w:val="18"/>
          <w:szCs w:val="18"/>
        </w:rPr>
      </w:pPr>
    </w:p>
    <w:p w14:paraId="6B167295" w14:textId="4AAEAF58" w:rsidR="00F43127" w:rsidRDefault="00F43127" w:rsidP="00F43127">
      <w:pPr>
        <w:jc w:val="both"/>
        <w:rPr>
          <w:rFonts w:cstheme="minorHAnsi"/>
          <w:sz w:val="18"/>
          <w:szCs w:val="18"/>
        </w:rPr>
      </w:pPr>
      <w:r w:rsidRPr="00F43127">
        <w:rPr>
          <w:rFonts w:cstheme="minorHAnsi"/>
          <w:sz w:val="18"/>
          <w:szCs w:val="18"/>
        </w:rPr>
        <w:t>Günümüzde Türkiye’de yaşayan 30.000’e yakın maden mühendisinin bulunduğu tahmin edilmekte ve yaklaşık 19.000 maden mühendisinin TMMOB Maden Mühendisleri Odası’nda kaydı bulunmaktadır. Bununla birlikte odaya kayıtlı yaklaşık 13.000 çevre mühendisi, 19.000 jeoloji mühendisi, 18.000 orman mühendisi bulunmaktadır. 2020 yılı sonu itibari ile YÖK verilerine göre toplam 14 üniversitede maden mühendisliği bölümü ve bölümde öğrenim gören 4.198 öğrenci, 10 üniversitede jeoloji mühendisliği bölümünde 5 bin 311 öğrenci, 11 üniversitede orman mühendisliği bölümünde 3.175 öğrenci, 30 üniversitede çevre mühendisliği bölümünde 5 bin 615 öğrenci bulunmaktadır. Tüm bu verilerin gelecekteki istihdam değerini ölçmek için maden sektörünün insan yaşamındaki yerine odaklanmak gerekmektedir. İçinde bulunduğumuz yüzyılda madencilik faaliyetleri olmaksızın insan yaşamının sürdürülebilmesi olası değildir. Bugün, kullandığımız arabalardan, içinde yaşadığımız evlere, bilgisayarlardan telefonlara kadar yaşamımız için vazgeçilmez olan hemen her şey, madencilik etkinlikleri sonucu elde edilen ürünler sayesinde varlık kazanabilmektedir. Dolayısıyla, insan yaşamı devam ettiği sürece sektörün sürdürülebilirliği ve sektördeki istihdamın sürdürülebilirliği kaçınılmaz olacaktır. Bu sürdürülebilirlik içerisinde ülkemizin, kadın çalışanlarımızın ve genç dimağlarımızın Mitto Consultancy olarak istihdamına destek sağlıyor olmak gurur verici.</w:t>
      </w:r>
    </w:p>
    <w:p w14:paraId="2A89AA72" w14:textId="77777777" w:rsidR="00F43127" w:rsidRPr="00F43127" w:rsidRDefault="00F43127" w:rsidP="00F43127">
      <w:pPr>
        <w:jc w:val="both"/>
        <w:rPr>
          <w:rFonts w:cstheme="minorHAnsi"/>
          <w:sz w:val="18"/>
          <w:szCs w:val="18"/>
        </w:rPr>
      </w:pPr>
    </w:p>
    <w:p w14:paraId="57369E43" w14:textId="7E5CAB55" w:rsidR="00F43127" w:rsidRDefault="00F43127" w:rsidP="00F43127">
      <w:pPr>
        <w:jc w:val="both"/>
        <w:rPr>
          <w:rFonts w:cstheme="minorHAnsi"/>
          <w:sz w:val="18"/>
          <w:szCs w:val="18"/>
        </w:rPr>
      </w:pPr>
      <w:r w:rsidRPr="00F43127">
        <w:rPr>
          <w:rFonts w:cstheme="minorHAnsi"/>
          <w:sz w:val="18"/>
          <w:szCs w:val="18"/>
        </w:rPr>
        <w:t>Sektörde faaliyet gösteren işyerlerinin yüzde 54,4’ü 2-9 arası istihdamlı işyerlerinden oluşmaktadır. 10-19 ve 20 ve daha fazla istihdamlı işyeri sayısı ise toplam işyerleri içinde sırası ile yüzde 17,5 ve yüzde 28,1 oranında bulunmaktadır. Araştırma kapsamına giren işyerlerinde çalışanların yüzde 93’ü erkeklerden, yüzde 7’si ise kadınlardan oluşmaktadır. Vardiyalı çalışma gerçekleştirmeyen işyerlerinde kadın istihdamının oranının vardiyalı çalışma gerçekleştiren işyerlerine göre daha yüksek olduğu göze çarpmaktadır. Vardiyalı çalışma yapan işyerlerinde kadınların toplam çalışanlar içindeki oranı yüzde 5,2 iken bu oran vardiyalı çalışma yapmayan işyerlerinde yüzde 9,7 olarak gerçekleşmiştir. Günümüzde gelişen ve iyileştirilen saha şartları sayesinde sektörün istihdama katkısı yanında kadın istihdamına da katkısı büyüktür.</w:t>
      </w:r>
    </w:p>
    <w:p w14:paraId="4425C680" w14:textId="77777777" w:rsidR="00F43127" w:rsidRPr="00F43127" w:rsidRDefault="00F43127" w:rsidP="00F43127">
      <w:pPr>
        <w:jc w:val="both"/>
        <w:rPr>
          <w:rFonts w:cstheme="minorHAnsi"/>
          <w:sz w:val="18"/>
          <w:szCs w:val="18"/>
        </w:rPr>
      </w:pPr>
    </w:p>
    <w:p w14:paraId="5F23DBF2" w14:textId="65624BFA" w:rsidR="00497CB0" w:rsidRDefault="00F43127" w:rsidP="00F43127">
      <w:pPr>
        <w:jc w:val="both"/>
        <w:rPr>
          <w:rFonts w:cstheme="minorHAnsi"/>
          <w:sz w:val="18"/>
          <w:szCs w:val="18"/>
        </w:rPr>
      </w:pPr>
      <w:r w:rsidRPr="00F43127">
        <w:rPr>
          <w:rFonts w:cstheme="minorHAnsi"/>
          <w:sz w:val="18"/>
          <w:szCs w:val="18"/>
        </w:rPr>
        <w:t>Türkiye’nin Gayri Safi Milli Hasılası’nda madencilik sektörünün payı yüzde 1,3. Madencilik sektörünün gayri safi milli hasıladan aldığı payın çok daha fazla olduğu ülkelere yakından baktığımızda buna paralel olarak ekonomilerinin güçlü, üretimlerinin fazla olduğunu görüyoruz. Çin’in Gayri Safi Milli Hasılası’nda madenin aldığı pay yüzde 8,5, Avusturalya’nın aldığı pay yüzde 6,5, ABD’nin aldığı pay yüzde 5, Almanya ve Kanada’nın aldığı pay ise yüzde 4. Ülke olarak biz de bu oranlara ulaşabiliriz. Bunu yapabildiğimiz zaman ihracatımızda da artacak, tüm sektörlere değer bazında sağladığımız katkı da. İstihdama pozitif katkısı da hiç kuşkusuz bugün olduğundan daha fazla olacak. Bugün doğrudan 150 bin, dolaylı olarak da 2 milyon insanı istihdam eden sektör, belki de Türkiye’deki işsizlik oranlarında düşüş sağlanmasına büyük katkı sağlayacaktır.</w:t>
      </w:r>
    </w:p>
    <w:p w14:paraId="1BC59DFE" w14:textId="074AEA20" w:rsidR="00F43127" w:rsidRDefault="00F43127" w:rsidP="00497CB0">
      <w:pPr>
        <w:rPr>
          <w:rFonts w:cstheme="minorHAnsi"/>
          <w:sz w:val="18"/>
          <w:szCs w:val="18"/>
        </w:rPr>
      </w:pPr>
    </w:p>
    <w:p w14:paraId="600480B9" w14:textId="77777777" w:rsidR="00F43127" w:rsidRDefault="00F43127" w:rsidP="00497CB0">
      <w:pPr>
        <w:rPr>
          <w:rFonts w:cstheme="minorHAnsi"/>
          <w:sz w:val="18"/>
          <w:szCs w:val="18"/>
        </w:rPr>
      </w:pPr>
    </w:p>
    <w:p w14:paraId="7DB9C387" w14:textId="77777777" w:rsidR="00497CB0" w:rsidRDefault="00497CB0" w:rsidP="00497CB0">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5A8F1278" w14:textId="77777777" w:rsidR="00497CB0" w:rsidRDefault="00497CB0" w:rsidP="00497CB0">
      <w:pPr>
        <w:rPr>
          <w:rFonts w:cstheme="minorHAnsi"/>
          <w:sz w:val="18"/>
          <w:szCs w:val="18"/>
        </w:rPr>
      </w:pPr>
      <w:r w:rsidRPr="00EA3250">
        <w:rPr>
          <w:rFonts w:cstheme="minorHAnsi"/>
          <w:sz w:val="18"/>
          <w:szCs w:val="18"/>
        </w:rPr>
        <w:t>https://madencilikturkiye.com/wp-content/uploads/2018/09/Madencilik-Turkiye-Dergisi-Sayi-95-nsdu723eg2.pdf</w:t>
      </w:r>
    </w:p>
    <w:p w14:paraId="3DC46C52"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B0"/>
    <w:rsid w:val="003B665A"/>
    <w:rsid w:val="00497CB0"/>
    <w:rsid w:val="0091297F"/>
    <w:rsid w:val="00F431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7414B667"/>
  <w15:chartTrackingRefBased/>
  <w15:docId w15:val="{E7EB683E-D0D0-D249-96E4-D3A1245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B0"/>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2022-03-09T12:22:00Z</dcterms:created>
  <dcterms:modified xsi:type="dcterms:W3CDTF">2022-03-09T12:54:00Z</dcterms:modified>
</cp:coreProperties>
</file>